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56" w:rsidRDefault="004B7D56" w:rsidP="001B6F44">
      <w:pPr>
        <w:rPr>
          <w:rFonts w:cs="Arial"/>
        </w:rPr>
      </w:pPr>
      <w:bookmarkStart w:id="0" w:name="_Toc29883131"/>
      <w:bookmarkStart w:id="1" w:name="_Toc41906818"/>
      <w:bookmarkStart w:id="2" w:name="_Toc41907565"/>
      <w:bookmarkStart w:id="3" w:name="_Toc120358596"/>
      <w:bookmarkStart w:id="4" w:name="_Toc175381458"/>
      <w:bookmarkStart w:id="5" w:name="_Toc11735644"/>
      <w:bookmarkStart w:id="6" w:name="_Toc312235862"/>
      <w:bookmarkStart w:id="7" w:name="_Toc85356210"/>
      <w:bookmarkStart w:id="8" w:name="_GoBack"/>
      <w:bookmarkEnd w:id="8"/>
      <w:r>
        <w:rPr>
          <w:rFonts w:cs="Arial"/>
          <w:noProof/>
          <w:lang w:eastAsia="en-GB" w:bidi="ar-SA"/>
        </w:rPr>
        <w:drawing>
          <wp:inline distT="0" distB="0" distL="0" distR="0" wp14:anchorId="67422F82" wp14:editId="71257374">
            <wp:extent cx="3495600" cy="612000"/>
            <wp:effectExtent l="0" t="0" r="0" b="0"/>
            <wp:docPr id="4" name="Picture 4"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055B3D" w:rsidRDefault="00055B3D" w:rsidP="00055B3D"/>
    <w:p w:rsidR="00055B3D" w:rsidRDefault="00055B3D" w:rsidP="00055B3D">
      <w:pPr>
        <w:rPr>
          <w:b/>
          <w:sz w:val="28"/>
          <w:szCs w:val="28"/>
          <w:lang w:bidi="ar-SA"/>
        </w:rPr>
      </w:pPr>
      <w:r>
        <w:rPr>
          <w:b/>
          <w:sz w:val="28"/>
          <w:szCs w:val="28"/>
          <w:lang w:bidi="ar-SA"/>
        </w:rPr>
        <w:t>7 October 2014</w:t>
      </w:r>
    </w:p>
    <w:p w:rsidR="00055B3D" w:rsidRDefault="00055B3D" w:rsidP="00055B3D">
      <w:pPr>
        <w:rPr>
          <w:b/>
          <w:sz w:val="28"/>
          <w:szCs w:val="28"/>
          <w:lang w:bidi="ar-SA"/>
        </w:rPr>
      </w:pPr>
      <w:r>
        <w:rPr>
          <w:b/>
          <w:sz w:val="28"/>
          <w:szCs w:val="28"/>
          <w:lang w:bidi="ar-SA"/>
        </w:rPr>
        <w:t>[20–14]</w:t>
      </w:r>
    </w:p>
    <w:p w:rsidR="00055B3D" w:rsidRDefault="00055B3D" w:rsidP="00055B3D"/>
    <w:p w:rsidR="003C20BC" w:rsidRPr="00055B3D" w:rsidRDefault="004B7D56" w:rsidP="001B6F44">
      <w:pPr>
        <w:pStyle w:val="FSTitle"/>
      </w:pPr>
      <w:r w:rsidRPr="00055B3D">
        <w:t>Rejection – Proposal P274</w:t>
      </w:r>
    </w:p>
    <w:p w:rsidR="003C20BC" w:rsidRPr="00055B3D" w:rsidRDefault="003C20BC" w:rsidP="00E56E79"/>
    <w:p w:rsidR="004B7D56" w:rsidRPr="00055B3D" w:rsidRDefault="003C20BC" w:rsidP="001B6F44">
      <w:pPr>
        <w:pStyle w:val="FSTitle"/>
      </w:pPr>
      <w:r w:rsidRPr="00055B3D">
        <w:t xml:space="preserve">Review of </w:t>
      </w:r>
      <w:r w:rsidR="004B7D56" w:rsidRPr="00055B3D">
        <w:t xml:space="preserve">Minimum </w:t>
      </w:r>
      <w:r w:rsidRPr="00055B3D">
        <w:t>A</w:t>
      </w:r>
      <w:r w:rsidR="004B7D56" w:rsidRPr="00055B3D">
        <w:t xml:space="preserve">ge </w:t>
      </w:r>
      <w:r w:rsidRPr="00055B3D">
        <w:t>L</w:t>
      </w:r>
      <w:r w:rsidR="004B7D56" w:rsidRPr="00055B3D">
        <w:t xml:space="preserve">abelling of </w:t>
      </w:r>
      <w:r w:rsidRPr="00055B3D">
        <w:t>Foods for Infants</w:t>
      </w:r>
      <w:r w:rsidR="004B7D56" w:rsidRPr="00055B3D">
        <w:t xml:space="preserve">  </w:t>
      </w:r>
    </w:p>
    <w:p w:rsidR="004B7D56" w:rsidRPr="00DB74E5" w:rsidRDefault="004B7D56" w:rsidP="001B6F44">
      <w:pPr>
        <w:pBdr>
          <w:bottom w:val="single" w:sz="12" w:space="1" w:color="auto"/>
        </w:pBdr>
        <w:spacing w:line="280" w:lineRule="exact"/>
        <w:rPr>
          <w:rFonts w:cs="Arial"/>
          <w:bCs/>
        </w:rPr>
      </w:pPr>
    </w:p>
    <w:p w:rsidR="004B7D56" w:rsidRPr="00DB74E5" w:rsidRDefault="004B7D56" w:rsidP="001B6F44"/>
    <w:p w:rsidR="004B7D56" w:rsidRDefault="004B7D56" w:rsidP="001B6F44">
      <w:r w:rsidRPr="00DA1E8B">
        <w:t xml:space="preserve">Food Standards Australia New Zealand (FSANZ) has assessed a proposal prepared by FSANZ to review the labelling requirements in Standard </w:t>
      </w:r>
      <w:r>
        <w:t xml:space="preserve">2.9.2 – Food for infants, in light of the Australian and New Zealand infant feeding </w:t>
      </w:r>
      <w:r w:rsidR="00053311">
        <w:t>guidelines</w:t>
      </w:r>
      <w:r>
        <w:t xml:space="preserve">.  </w:t>
      </w:r>
    </w:p>
    <w:p w:rsidR="004B7D56" w:rsidRPr="00D33B41" w:rsidRDefault="004B7D56" w:rsidP="001B6F44"/>
    <w:p w:rsidR="004B7D56" w:rsidRPr="00055B3D" w:rsidRDefault="004B7D56" w:rsidP="001B6F44">
      <w:r w:rsidRPr="00DA1E8B">
        <w:rPr>
          <w:szCs w:val="22"/>
        </w:rPr>
        <w:t xml:space="preserve">On </w:t>
      </w:r>
      <w:r w:rsidRPr="00DA1E8B">
        <w:rPr>
          <w:bCs/>
          <w:szCs w:val="22"/>
        </w:rPr>
        <w:t>20 October 2004</w:t>
      </w:r>
      <w:r>
        <w:rPr>
          <w:bCs/>
          <w:szCs w:val="22"/>
        </w:rPr>
        <w:t xml:space="preserve">, </w:t>
      </w:r>
      <w:r>
        <w:t xml:space="preserve">FSANZ sought submissions on a draft </w:t>
      </w:r>
      <w:r w:rsidRPr="00DA1E8B">
        <w:t>variation</w:t>
      </w:r>
      <w:r>
        <w:t xml:space="preserve">. FSANZ received 12 submissions. </w:t>
      </w:r>
      <w:r w:rsidR="00053311">
        <w:t>Stakeholder views were also sought in</w:t>
      </w:r>
      <w:r w:rsidR="00053311" w:rsidRPr="00540B64">
        <w:t xml:space="preserve"> 2007, 2008 and 2013</w:t>
      </w:r>
      <w:r w:rsidR="00053311">
        <w:t xml:space="preserve"> on the proposal to amend the Standard to</w:t>
      </w:r>
      <w:r w:rsidR="00053311" w:rsidRPr="00540B64">
        <w:t xml:space="preserve"> increase the </w:t>
      </w:r>
      <w:r w:rsidR="00053311">
        <w:t>minimum</w:t>
      </w:r>
      <w:r w:rsidR="00053311" w:rsidRPr="00540B64">
        <w:t xml:space="preserve"> age permitted on</w:t>
      </w:r>
      <w:r w:rsidR="00053311">
        <w:t xml:space="preserve"> labels of </w:t>
      </w:r>
      <w:r w:rsidR="00053311" w:rsidRPr="00540B64">
        <w:t xml:space="preserve">infant food to </w:t>
      </w:r>
      <w:r w:rsidR="00053311" w:rsidRPr="00055B3D">
        <w:t>‘around 6 months’.</w:t>
      </w:r>
    </w:p>
    <w:p w:rsidR="004B7D56" w:rsidRPr="00055B3D" w:rsidRDefault="004B7D56" w:rsidP="001B6F44"/>
    <w:p w:rsidR="003C20BC" w:rsidRPr="00055B3D" w:rsidRDefault="004B7D56" w:rsidP="001B6F44">
      <w:r w:rsidRPr="00055B3D">
        <w:t xml:space="preserve">Pursuant to </w:t>
      </w:r>
      <w:r w:rsidR="006F0430" w:rsidRPr="00055B3D">
        <w:t xml:space="preserve">paragraph 18(1)(c) </w:t>
      </w:r>
      <w:r w:rsidRPr="00055B3D">
        <w:t xml:space="preserve">of the </w:t>
      </w:r>
      <w:r w:rsidRPr="00055B3D">
        <w:rPr>
          <w:i/>
        </w:rPr>
        <w:t>Food Standards Australia New Zealand Act 1991</w:t>
      </w:r>
      <w:r w:rsidRPr="00055B3D">
        <w:t xml:space="preserve"> </w:t>
      </w:r>
      <w:r w:rsidR="003C20BC" w:rsidRPr="00055B3D">
        <w:t>(as was in force prior to 1 July 2007)</w:t>
      </w:r>
      <w:r w:rsidRPr="00055B3D">
        <w:t>, FSANZ rejected the draft variation</w:t>
      </w:r>
      <w:r w:rsidR="00055B3D" w:rsidRPr="00055B3D">
        <w:t xml:space="preserve"> on 18 September 2014</w:t>
      </w:r>
      <w:r w:rsidR="003C20BC" w:rsidRPr="00055B3D">
        <w:t xml:space="preserve">. The </w:t>
      </w:r>
      <w:r w:rsidR="003C20BC" w:rsidRPr="00055B3D">
        <w:rPr>
          <w:rFonts w:cs="Helvetica"/>
          <w:lang w:val="en-AU"/>
        </w:rPr>
        <w:t xml:space="preserve">Australia and New Zealand Ministerial Forum on Food </w:t>
      </w:r>
      <w:r w:rsidR="003C20BC" w:rsidRPr="00055B3D">
        <w:rPr>
          <w:rFonts w:cs="Arial"/>
        </w:rPr>
        <w:t>Regulation</w:t>
      </w:r>
      <w:r w:rsidR="003C20BC" w:rsidRPr="00055B3D">
        <w:rPr>
          <w:rStyle w:val="FootnoteReference"/>
          <w:rFonts w:cs="Arial"/>
        </w:rPr>
        <w:footnoteReference w:id="1"/>
      </w:r>
      <w:r w:rsidR="003C20BC" w:rsidRPr="00055B3D">
        <w:rPr>
          <w:rFonts w:cs="Helvetica"/>
          <w:lang w:val="en-AU"/>
        </w:rPr>
        <w:t xml:space="preserve"> </w:t>
      </w:r>
      <w:r w:rsidR="003C20BC" w:rsidRPr="00055B3D">
        <w:rPr>
          <w:rFonts w:cs="Arial"/>
        </w:rPr>
        <w:t>(Forum)</w:t>
      </w:r>
      <w:r w:rsidR="003C20BC" w:rsidRPr="00055B3D">
        <w:t xml:space="preserve"> was notified of FSANZ’s decision on </w:t>
      </w:r>
      <w:r w:rsidR="00055B3D" w:rsidRPr="00055B3D">
        <w:t>3 October 2014</w:t>
      </w:r>
      <w:r w:rsidR="003C20BC" w:rsidRPr="00055B3D">
        <w:t>.</w:t>
      </w:r>
    </w:p>
    <w:p w:rsidR="003C20BC" w:rsidRPr="00055B3D" w:rsidRDefault="003C20BC" w:rsidP="001B6F44"/>
    <w:p w:rsidR="004B7D56" w:rsidRPr="00766C37" w:rsidRDefault="004B7D56" w:rsidP="001B6F44">
      <w:r w:rsidRPr="0093072A">
        <w:t>Information on the reasons for FSANZ’s decision is contained in this Report.</w:t>
      </w:r>
    </w:p>
    <w:p w:rsidR="004B7D56" w:rsidRPr="00766C37" w:rsidRDefault="004B7D56" w:rsidP="001B6F44"/>
    <w:p w:rsidR="004B7D56" w:rsidRDefault="004B7D56" w:rsidP="001B6F44"/>
    <w:p w:rsidR="004B7D56" w:rsidRDefault="004B7D56" w:rsidP="001B6F44"/>
    <w:p w:rsidR="004B7D56" w:rsidRDefault="004B7D56" w:rsidP="001B6F44">
      <w:pPr>
        <w:sectPr w:rsidR="004B7D56" w:rsidSect="001B6F4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rsidR="004B7D56" w:rsidRDefault="004B7D56" w:rsidP="001B6F44">
      <w:pPr>
        <w:jc w:val="center"/>
        <w:rPr>
          <w:sz w:val="28"/>
          <w:szCs w:val="28"/>
        </w:rPr>
      </w:pPr>
      <w:r w:rsidRPr="00B96C59">
        <w:rPr>
          <w:sz w:val="28"/>
          <w:szCs w:val="28"/>
        </w:rPr>
        <w:lastRenderedPageBreak/>
        <w:t>Table of Contents</w:t>
      </w:r>
    </w:p>
    <w:p w:rsidR="00055B3D" w:rsidRPr="00B96C59" w:rsidRDefault="00055B3D" w:rsidP="00055B3D"/>
    <w:p w:rsidR="001D73DF" w:rsidRPr="00055B3D" w:rsidRDefault="004B7D56">
      <w:pPr>
        <w:pStyle w:val="TOC1"/>
        <w:tabs>
          <w:tab w:val="left" w:pos="440"/>
          <w:tab w:val="right" w:leader="dot" w:pos="9060"/>
        </w:tabs>
        <w:rPr>
          <w:rFonts w:ascii="Arial" w:eastAsiaTheme="minorEastAsia" w:hAnsi="Arial" w:cs="Arial"/>
          <w:b w:val="0"/>
          <w:bCs w:val="0"/>
          <w:caps w:val="0"/>
          <w:noProof/>
          <w:sz w:val="22"/>
          <w:szCs w:val="22"/>
          <w:lang w:eastAsia="en-GB" w:bidi="ar-SA"/>
        </w:rPr>
      </w:pPr>
      <w:r w:rsidRPr="00055B3D">
        <w:rPr>
          <w:rFonts w:ascii="Arial" w:hAnsi="Arial" w:cs="Arial"/>
          <w:b w:val="0"/>
          <w:bCs w:val="0"/>
          <w:caps w:val="0"/>
          <w:smallCaps/>
        </w:rPr>
        <w:fldChar w:fldCharType="begin"/>
      </w:r>
      <w:r w:rsidRPr="00055B3D">
        <w:rPr>
          <w:rFonts w:ascii="Arial" w:hAnsi="Arial" w:cs="Arial"/>
          <w:b w:val="0"/>
          <w:bCs w:val="0"/>
          <w:caps w:val="0"/>
          <w:smallCaps/>
        </w:rPr>
        <w:instrText xml:space="preserve"> TOC \o "1-3" \h \z \u </w:instrText>
      </w:r>
      <w:r w:rsidRPr="00055B3D">
        <w:rPr>
          <w:rFonts w:ascii="Arial" w:hAnsi="Arial" w:cs="Arial"/>
          <w:b w:val="0"/>
          <w:bCs w:val="0"/>
          <w:caps w:val="0"/>
          <w:smallCaps/>
        </w:rPr>
        <w:fldChar w:fldCharType="separate"/>
      </w:r>
      <w:hyperlink w:anchor="_Toc400022167" w:history="1">
        <w:r w:rsidR="001D73DF" w:rsidRPr="00055B3D">
          <w:rPr>
            <w:rStyle w:val="Hyperlink"/>
            <w:rFonts w:ascii="Arial" w:hAnsi="Arial" w:cs="Arial"/>
            <w:noProof/>
          </w:rPr>
          <w:t>1</w:t>
        </w:r>
        <w:r w:rsidR="001D73DF" w:rsidRPr="00055B3D">
          <w:rPr>
            <w:rFonts w:ascii="Arial" w:eastAsiaTheme="minorEastAsia" w:hAnsi="Arial" w:cs="Arial"/>
            <w:b w:val="0"/>
            <w:bCs w:val="0"/>
            <w:caps w:val="0"/>
            <w:noProof/>
            <w:sz w:val="22"/>
            <w:szCs w:val="22"/>
            <w:lang w:eastAsia="en-GB" w:bidi="ar-SA"/>
          </w:rPr>
          <w:tab/>
        </w:r>
        <w:r w:rsidR="001D73DF" w:rsidRPr="00055B3D">
          <w:rPr>
            <w:rStyle w:val="Hyperlink"/>
            <w:rFonts w:ascii="Arial" w:hAnsi="Arial" w:cs="Arial"/>
            <w:noProof/>
          </w:rPr>
          <w:t>Introduction</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_Toc400022167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4</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68" w:history="1">
        <w:r w:rsidR="001D73DF" w:rsidRPr="00055B3D">
          <w:rPr>
            <w:rStyle w:val="Hyperlink"/>
            <w:rFonts w:ascii="Arial" w:hAnsi="Arial" w:cs="Arial"/>
            <w:noProof/>
          </w:rPr>
          <w:t>1.1</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History of the Proposal</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_Toc400022168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4</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69" w:history="1">
        <w:r w:rsidR="001D73DF" w:rsidRPr="00055B3D">
          <w:rPr>
            <w:rStyle w:val="Hyperlink"/>
            <w:rFonts w:ascii="Arial" w:hAnsi="Arial" w:cs="Arial"/>
            <w:noProof/>
          </w:rPr>
          <w:t>1.2</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The current Standard</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_Toc400022169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5</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70" w:history="1">
        <w:r w:rsidR="001D73DF" w:rsidRPr="00055B3D">
          <w:rPr>
            <w:rStyle w:val="Hyperlink"/>
            <w:rFonts w:ascii="Arial" w:hAnsi="Arial" w:cs="Arial"/>
            <w:noProof/>
            <w:u w:color="FFFF00"/>
          </w:rPr>
          <w:t>1.3</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u w:color="FFFF00"/>
          </w:rPr>
          <w:t xml:space="preserve">Reasons for </w:t>
        </w:r>
        <w:r w:rsidR="001D73DF" w:rsidRPr="00055B3D">
          <w:rPr>
            <w:rStyle w:val="Hyperlink"/>
            <w:rFonts w:ascii="Arial" w:hAnsi="Arial" w:cs="Arial"/>
            <w:noProof/>
          </w:rPr>
          <w:t>preparing the Proposal</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_Toc400022170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5</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71" w:history="1">
        <w:r w:rsidR="001D73DF" w:rsidRPr="00055B3D">
          <w:rPr>
            <w:rStyle w:val="Hyperlink"/>
            <w:rFonts w:ascii="Arial" w:hAnsi="Arial" w:cs="Arial"/>
            <w:noProof/>
          </w:rPr>
          <w:t>1.4</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Decision</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_Toc400022171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6</w:t>
        </w:r>
        <w:r w:rsidR="001D73DF" w:rsidRPr="00055B3D">
          <w:rPr>
            <w:rFonts w:ascii="Arial" w:hAnsi="Arial" w:cs="Arial"/>
            <w:noProof/>
            <w:webHidden/>
          </w:rPr>
          <w:fldChar w:fldCharType="end"/>
        </w:r>
      </w:hyperlink>
    </w:p>
    <w:p w:rsidR="001D73DF" w:rsidRPr="00055B3D" w:rsidRDefault="00A33B1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0022172" w:history="1">
        <w:r w:rsidR="001D73DF" w:rsidRPr="00055B3D">
          <w:rPr>
            <w:rStyle w:val="Hyperlink"/>
            <w:rFonts w:ascii="Arial" w:hAnsi="Arial" w:cs="Arial"/>
            <w:noProof/>
          </w:rPr>
          <w:t>2</w:t>
        </w:r>
        <w:r w:rsidR="001D73DF" w:rsidRPr="00055B3D">
          <w:rPr>
            <w:rFonts w:ascii="Arial" w:eastAsiaTheme="minorEastAsia" w:hAnsi="Arial" w:cs="Arial"/>
            <w:b w:val="0"/>
            <w:bCs w:val="0"/>
            <w:caps w:val="0"/>
            <w:noProof/>
            <w:sz w:val="22"/>
            <w:szCs w:val="22"/>
            <w:lang w:eastAsia="en-GB" w:bidi="ar-SA"/>
          </w:rPr>
          <w:tab/>
        </w:r>
        <w:r w:rsidR="001D73DF" w:rsidRPr="00055B3D">
          <w:rPr>
            <w:rStyle w:val="Hyperlink"/>
            <w:rFonts w:ascii="Arial" w:hAnsi="Arial" w:cs="Arial"/>
            <w:noProof/>
          </w:rPr>
          <w:t>Summary of findings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_Toc400022172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6</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73" w:history="1">
        <w:r w:rsidR="001D73DF" w:rsidRPr="00055B3D">
          <w:rPr>
            <w:rStyle w:val="Hyperlink"/>
            <w:rFonts w:ascii="Arial" w:hAnsi="Arial" w:cs="Arial"/>
            <w:noProof/>
          </w:rPr>
          <w:t>2.1</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Summary of views from submissions (2003–13)</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_Toc400022173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6</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74" w:history="1">
        <w:r w:rsidR="001D73DF" w:rsidRPr="00055B3D">
          <w:rPr>
            <w:rStyle w:val="Hyperlink"/>
            <w:rFonts w:ascii="Arial" w:hAnsi="Arial" w:cs="Arial"/>
            <w:noProof/>
          </w:rPr>
          <w:t>2.2</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FSANZ risk assessments and evidence base</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_Toc400022174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7</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75" w:history="1">
        <w:r w:rsidR="001D73DF" w:rsidRPr="00055B3D">
          <w:rPr>
            <w:rStyle w:val="Hyperlink"/>
            <w:rFonts w:ascii="Arial" w:hAnsi="Arial" w:cs="Arial"/>
            <w:noProof/>
          </w:rPr>
          <w:t>2.2.1</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Conclusion</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_Toc400022175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10</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76" w:history="1">
        <w:r w:rsidR="001D73DF" w:rsidRPr="00055B3D">
          <w:rPr>
            <w:rStyle w:val="Hyperlink"/>
            <w:rFonts w:ascii="Arial" w:hAnsi="Arial" w:cs="Arial"/>
            <w:noProof/>
          </w:rPr>
          <w:t>2.3</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Risk management</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_Toc400022176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11</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77" w:history="1">
        <w:r w:rsidR="001D73DF" w:rsidRPr="00055B3D">
          <w:rPr>
            <w:rStyle w:val="Hyperlink"/>
            <w:rFonts w:ascii="Arial" w:hAnsi="Arial" w:cs="Arial"/>
            <w:noProof/>
          </w:rPr>
          <w:t>2</w:t>
        </w:r>
        <w:r w:rsidR="001D73DF" w:rsidRPr="00055B3D">
          <w:rPr>
            <w:rStyle w:val="Hyperlink"/>
            <w:rFonts w:ascii="Arial" w:eastAsiaTheme="minorHAnsi" w:hAnsi="Arial" w:cs="Arial"/>
            <w:noProof/>
          </w:rPr>
          <w:t>.3.1</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eastAsiaTheme="minorHAnsi" w:hAnsi="Arial" w:cs="Arial"/>
            <w:noProof/>
          </w:rPr>
          <w:t>The problem</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_Toc400022177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11</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78" w:history="1">
        <w:r w:rsidR="001D73DF" w:rsidRPr="00055B3D">
          <w:rPr>
            <w:rStyle w:val="Hyperlink"/>
            <w:rFonts w:ascii="Arial" w:hAnsi="Arial" w:cs="Arial"/>
            <w:noProof/>
          </w:rPr>
          <w:t>2.3.2</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Cost benefit analysis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_Toc400022178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12</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79" w:history="1">
        <w:r w:rsidR="001D73DF" w:rsidRPr="00055B3D">
          <w:rPr>
            <w:rStyle w:val="Hyperlink"/>
            <w:rFonts w:ascii="Arial" w:hAnsi="Arial" w:cs="Arial"/>
            <w:noProof/>
          </w:rPr>
          <w:t>2.3.3</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Risk management conclusion</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_Toc400022179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12</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80" w:history="1">
        <w:r w:rsidR="001D73DF" w:rsidRPr="00055B3D">
          <w:rPr>
            <w:rStyle w:val="Hyperlink"/>
            <w:rFonts w:ascii="Arial" w:hAnsi="Arial" w:cs="Arial"/>
            <w:noProof/>
          </w:rPr>
          <w:t>2.4</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Risk communication</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_Toc400022180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12</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81" w:history="1">
        <w:r w:rsidR="001D73DF" w:rsidRPr="00055B3D">
          <w:rPr>
            <w:rStyle w:val="Hyperlink"/>
            <w:rFonts w:ascii="Arial" w:hAnsi="Arial" w:cs="Arial"/>
            <w:noProof/>
          </w:rPr>
          <w:t>2.4.1</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Communication strategy</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_Toc400022181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12</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82" w:history="1">
        <w:r w:rsidR="001D73DF" w:rsidRPr="00055B3D">
          <w:rPr>
            <w:rStyle w:val="Hyperlink"/>
            <w:rFonts w:ascii="Arial" w:hAnsi="Arial" w:cs="Arial"/>
            <w:noProof/>
          </w:rPr>
          <w:t>2.4.2</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Consultation</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_Toc400022182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13</w:t>
        </w:r>
        <w:r w:rsidR="001D73DF" w:rsidRPr="00055B3D">
          <w:rPr>
            <w:rFonts w:ascii="Arial" w:hAnsi="Arial" w:cs="Arial"/>
            <w:noProof/>
            <w:webHidden/>
          </w:rPr>
          <w:fldChar w:fldCharType="end"/>
        </w:r>
      </w:hyperlink>
    </w:p>
    <w:p w:rsidR="001D73DF" w:rsidRPr="00055B3D" w:rsidRDefault="00A33B1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0022183" w:history="1">
        <w:r w:rsidR="001D73DF" w:rsidRPr="00055B3D">
          <w:rPr>
            <w:rStyle w:val="Hyperlink"/>
            <w:rFonts w:ascii="Arial" w:hAnsi="Arial" w:cs="Arial"/>
            <w:noProof/>
          </w:rPr>
          <w:t>2.5</w:t>
        </w:r>
        <w:r w:rsidR="001D73DF" w:rsidRPr="00055B3D">
          <w:rPr>
            <w:rFonts w:ascii="Arial" w:eastAsiaTheme="minorEastAsia" w:hAnsi="Arial" w:cs="Arial"/>
            <w:smallCaps w:val="0"/>
            <w:noProof/>
            <w:sz w:val="22"/>
            <w:szCs w:val="22"/>
            <w:lang w:eastAsia="en-GB" w:bidi="ar-SA"/>
          </w:rPr>
          <w:tab/>
        </w:r>
        <w:r w:rsidR="001D73DF" w:rsidRPr="00055B3D">
          <w:rPr>
            <w:rStyle w:val="Hyperlink"/>
            <w:rFonts w:ascii="Arial" w:hAnsi="Arial" w:cs="Arial"/>
            <w:noProof/>
          </w:rPr>
          <w:t>FSANZ Act assessment requirements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_Toc400022183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13</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84" w:history="1">
        <w:r w:rsidR="001D73DF" w:rsidRPr="00055B3D">
          <w:rPr>
            <w:rStyle w:val="Hyperlink"/>
            <w:rFonts w:ascii="Arial" w:hAnsi="Arial" w:cs="Arial"/>
            <w:noProof/>
          </w:rPr>
          <w:t>2.5.1</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Subsection 10(1) considerations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_Toc400022184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13</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85" w:history="1">
        <w:r w:rsidR="001D73DF" w:rsidRPr="00055B3D">
          <w:rPr>
            <w:rStyle w:val="Hyperlink"/>
            <w:rFonts w:ascii="Arial" w:hAnsi="Arial" w:cs="Arial"/>
            <w:noProof/>
          </w:rPr>
          <w:t>2.5.2</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Subsection 10(2) considerations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_Toc400022185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13</w:t>
        </w:r>
        <w:r w:rsidR="001D73DF" w:rsidRPr="00055B3D">
          <w:rPr>
            <w:rFonts w:ascii="Arial" w:hAnsi="Arial" w:cs="Arial"/>
            <w:noProof/>
            <w:webHidden/>
          </w:rPr>
          <w:fldChar w:fldCharType="end"/>
        </w:r>
      </w:hyperlink>
    </w:p>
    <w:p w:rsidR="001D73DF" w:rsidRPr="00055B3D" w:rsidRDefault="00A33B1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0022186" w:history="1">
        <w:r w:rsidR="001D73DF" w:rsidRPr="00055B3D">
          <w:rPr>
            <w:rStyle w:val="Hyperlink"/>
            <w:rFonts w:ascii="Arial" w:hAnsi="Arial" w:cs="Arial"/>
            <w:noProof/>
          </w:rPr>
          <w:t>2.5.3</w:t>
        </w:r>
        <w:r w:rsidR="001D73DF" w:rsidRPr="00055B3D">
          <w:rPr>
            <w:rFonts w:ascii="Arial" w:eastAsiaTheme="minorEastAsia" w:hAnsi="Arial" w:cs="Arial"/>
            <w:i w:val="0"/>
            <w:iCs w:val="0"/>
            <w:noProof/>
            <w:sz w:val="22"/>
            <w:szCs w:val="22"/>
            <w:lang w:eastAsia="en-GB" w:bidi="ar-SA"/>
          </w:rPr>
          <w:tab/>
        </w:r>
        <w:r w:rsidR="001D73DF" w:rsidRPr="00055B3D">
          <w:rPr>
            <w:rStyle w:val="Hyperlink"/>
            <w:rFonts w:ascii="Arial" w:hAnsi="Arial" w:cs="Arial"/>
            <w:noProof/>
          </w:rPr>
          <w:t>Any other relevant matters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_Toc400022186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14</w:t>
        </w:r>
        <w:r w:rsidR="001D73DF" w:rsidRPr="00055B3D">
          <w:rPr>
            <w:rFonts w:ascii="Arial" w:hAnsi="Arial" w:cs="Arial"/>
            <w:noProof/>
            <w:webHidden/>
          </w:rPr>
          <w:fldChar w:fldCharType="end"/>
        </w:r>
      </w:hyperlink>
    </w:p>
    <w:p w:rsidR="001D73DF" w:rsidRPr="00055B3D" w:rsidRDefault="00A33B1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0022187" w:history="1">
        <w:r w:rsidR="001D73DF" w:rsidRPr="00055B3D">
          <w:rPr>
            <w:rStyle w:val="Hyperlink"/>
            <w:rFonts w:ascii="Arial" w:hAnsi="Arial" w:cs="Arial"/>
            <w:noProof/>
          </w:rPr>
          <w:t>3</w:t>
        </w:r>
        <w:r w:rsidR="001D73DF" w:rsidRPr="00055B3D">
          <w:rPr>
            <w:rFonts w:ascii="Arial" w:eastAsiaTheme="minorEastAsia" w:hAnsi="Arial" w:cs="Arial"/>
            <w:b w:val="0"/>
            <w:bCs w:val="0"/>
            <w:caps w:val="0"/>
            <w:noProof/>
            <w:sz w:val="22"/>
            <w:szCs w:val="22"/>
            <w:lang w:eastAsia="en-GB" w:bidi="ar-SA"/>
          </w:rPr>
          <w:tab/>
        </w:r>
        <w:r w:rsidR="001D73DF" w:rsidRPr="00055B3D">
          <w:rPr>
            <w:rStyle w:val="Hyperlink"/>
            <w:rFonts w:ascii="Arial" w:hAnsi="Arial" w:cs="Arial"/>
            <w:noProof/>
          </w:rPr>
          <w:t>Rights of review</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_Toc400022187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14</w:t>
        </w:r>
        <w:r w:rsidR="001D73DF" w:rsidRPr="00055B3D">
          <w:rPr>
            <w:rFonts w:ascii="Arial" w:hAnsi="Arial" w:cs="Arial"/>
            <w:noProof/>
            <w:webHidden/>
          </w:rPr>
          <w:fldChar w:fldCharType="end"/>
        </w:r>
      </w:hyperlink>
    </w:p>
    <w:p w:rsidR="001D73DF" w:rsidRPr="00055B3D" w:rsidRDefault="00A33B1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0022188" w:history="1">
        <w:r w:rsidR="001D73DF" w:rsidRPr="00055B3D">
          <w:rPr>
            <w:rStyle w:val="Hyperlink"/>
            <w:rFonts w:ascii="Arial" w:hAnsi="Arial" w:cs="Arial"/>
            <w:noProof/>
          </w:rPr>
          <w:t>4</w:t>
        </w:r>
        <w:r w:rsidR="001D73DF" w:rsidRPr="00055B3D">
          <w:rPr>
            <w:rFonts w:ascii="Arial" w:eastAsiaTheme="minorEastAsia" w:hAnsi="Arial" w:cs="Arial"/>
            <w:b w:val="0"/>
            <w:bCs w:val="0"/>
            <w:caps w:val="0"/>
            <w:noProof/>
            <w:sz w:val="22"/>
            <w:szCs w:val="22"/>
            <w:lang w:eastAsia="en-GB" w:bidi="ar-SA"/>
          </w:rPr>
          <w:tab/>
        </w:r>
        <w:r w:rsidR="001D73DF" w:rsidRPr="00055B3D">
          <w:rPr>
            <w:rStyle w:val="Hyperlink"/>
            <w:rFonts w:ascii="Arial" w:hAnsi="Arial" w:cs="Arial"/>
            <w:noProof/>
          </w:rPr>
          <w:t>References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_Toc400022188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14</w:t>
        </w:r>
        <w:r w:rsidR="001D73DF" w:rsidRPr="00055B3D">
          <w:rPr>
            <w:rFonts w:ascii="Arial" w:hAnsi="Arial" w:cs="Arial"/>
            <w:noProof/>
            <w:webHidden/>
          </w:rPr>
          <w:fldChar w:fldCharType="end"/>
        </w:r>
      </w:hyperlink>
    </w:p>
    <w:p w:rsidR="001D73DF" w:rsidRPr="00055B3D" w:rsidRDefault="00A33B18">
      <w:pPr>
        <w:pStyle w:val="TOC1"/>
        <w:tabs>
          <w:tab w:val="right" w:leader="dot" w:pos="9060"/>
        </w:tabs>
        <w:rPr>
          <w:rFonts w:ascii="Arial" w:eastAsiaTheme="minorEastAsia" w:hAnsi="Arial" w:cs="Arial"/>
          <w:b w:val="0"/>
          <w:bCs w:val="0"/>
          <w:caps w:val="0"/>
          <w:noProof/>
          <w:sz w:val="22"/>
          <w:szCs w:val="22"/>
          <w:lang w:eastAsia="en-GB" w:bidi="ar-SA"/>
        </w:rPr>
      </w:pPr>
      <w:hyperlink w:anchor="_Toc400022189" w:history="1">
        <w:r w:rsidR="001D73DF" w:rsidRPr="00055B3D">
          <w:rPr>
            <w:rStyle w:val="Hyperlink"/>
            <w:rFonts w:ascii="Arial" w:hAnsi="Arial" w:cs="Arial"/>
            <w:noProof/>
          </w:rPr>
          <w:t>Attachments</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_Toc400022189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15</w:t>
        </w:r>
        <w:r w:rsidR="001D73DF" w:rsidRPr="00055B3D">
          <w:rPr>
            <w:rFonts w:ascii="Arial" w:hAnsi="Arial" w:cs="Arial"/>
            <w:noProof/>
            <w:webHidden/>
          </w:rPr>
          <w:fldChar w:fldCharType="end"/>
        </w:r>
      </w:hyperlink>
    </w:p>
    <w:p w:rsidR="001D73DF" w:rsidRPr="00055B3D" w:rsidRDefault="00A33B18">
      <w:pPr>
        <w:pStyle w:val="TOC2"/>
        <w:tabs>
          <w:tab w:val="right" w:leader="dot" w:pos="9060"/>
        </w:tabs>
        <w:rPr>
          <w:rFonts w:ascii="Arial" w:eastAsiaTheme="minorEastAsia" w:hAnsi="Arial" w:cs="Arial"/>
          <w:smallCaps w:val="0"/>
          <w:noProof/>
          <w:sz w:val="22"/>
          <w:szCs w:val="22"/>
          <w:lang w:eastAsia="en-GB" w:bidi="ar-SA"/>
        </w:rPr>
      </w:pPr>
      <w:hyperlink w:anchor="_Toc400022190" w:history="1">
        <w:r w:rsidR="001D73DF" w:rsidRPr="00055B3D">
          <w:rPr>
            <w:rStyle w:val="Hyperlink"/>
            <w:rFonts w:ascii="Arial" w:hAnsi="Arial" w:cs="Arial"/>
            <w:noProof/>
          </w:rPr>
          <w:t>Attachment A – Draft variation to the Australia New Zealand Food Standards Code (At Draft Assessment – 2004)</w:t>
        </w:r>
        <w:r w:rsidR="001D73DF" w:rsidRPr="00055B3D">
          <w:rPr>
            <w:rFonts w:ascii="Arial" w:hAnsi="Arial" w:cs="Arial"/>
            <w:noProof/>
            <w:webHidden/>
          </w:rPr>
          <w:tab/>
        </w:r>
        <w:r w:rsidR="001D73DF" w:rsidRPr="00055B3D">
          <w:rPr>
            <w:rFonts w:ascii="Arial" w:hAnsi="Arial" w:cs="Arial"/>
            <w:noProof/>
            <w:webHidden/>
          </w:rPr>
          <w:fldChar w:fldCharType="begin"/>
        </w:r>
        <w:r w:rsidR="001D73DF" w:rsidRPr="00055B3D">
          <w:rPr>
            <w:rFonts w:ascii="Arial" w:hAnsi="Arial" w:cs="Arial"/>
            <w:noProof/>
            <w:webHidden/>
          </w:rPr>
          <w:instrText xml:space="preserve"> PAGEREF _Toc400022190 \h </w:instrText>
        </w:r>
        <w:r w:rsidR="001D73DF" w:rsidRPr="00055B3D">
          <w:rPr>
            <w:rFonts w:ascii="Arial" w:hAnsi="Arial" w:cs="Arial"/>
            <w:noProof/>
            <w:webHidden/>
          </w:rPr>
        </w:r>
        <w:r w:rsidR="001D73DF" w:rsidRPr="00055B3D">
          <w:rPr>
            <w:rFonts w:ascii="Arial" w:hAnsi="Arial" w:cs="Arial"/>
            <w:noProof/>
            <w:webHidden/>
          </w:rPr>
          <w:fldChar w:fldCharType="separate"/>
        </w:r>
        <w:r w:rsidR="00055B3D">
          <w:rPr>
            <w:rFonts w:ascii="Arial" w:hAnsi="Arial" w:cs="Arial"/>
            <w:noProof/>
            <w:webHidden/>
          </w:rPr>
          <w:t>16</w:t>
        </w:r>
        <w:r w:rsidR="001D73DF" w:rsidRPr="00055B3D">
          <w:rPr>
            <w:rFonts w:ascii="Arial" w:hAnsi="Arial" w:cs="Arial"/>
            <w:noProof/>
            <w:webHidden/>
          </w:rPr>
          <w:fldChar w:fldCharType="end"/>
        </w:r>
      </w:hyperlink>
    </w:p>
    <w:p w:rsidR="004B7D56" w:rsidRDefault="004B7D56" w:rsidP="001B6F44">
      <w:r w:rsidRPr="00055B3D">
        <w:rPr>
          <w:rFonts w:cs="Arial"/>
        </w:rPr>
        <w:fldChar w:fldCharType="end"/>
      </w:r>
    </w:p>
    <w:p w:rsidR="004B7D56" w:rsidRPr="00E203C2" w:rsidRDefault="004B7D56" w:rsidP="001B6F44"/>
    <w:p w:rsidR="004B7D56" w:rsidRPr="008844E4" w:rsidRDefault="004B7D56" w:rsidP="001B6F44">
      <w:pPr>
        <w:rPr>
          <w:b/>
          <w:szCs w:val="22"/>
        </w:rPr>
      </w:pPr>
      <w:r w:rsidRPr="008844E4">
        <w:rPr>
          <w:b/>
          <w:szCs w:val="22"/>
        </w:rPr>
        <w:t>Supporting documents</w:t>
      </w:r>
    </w:p>
    <w:p w:rsidR="004B7D56" w:rsidRPr="0089264A" w:rsidRDefault="004B7D56" w:rsidP="001B6F44">
      <w:pPr>
        <w:rPr>
          <w:szCs w:val="22"/>
        </w:rPr>
      </w:pPr>
    </w:p>
    <w:p w:rsidR="004B7D56" w:rsidRPr="00D604DD" w:rsidRDefault="004B7D56" w:rsidP="001B6F44">
      <w:pPr>
        <w:rPr>
          <w:rFonts w:cs="Arial"/>
          <w:szCs w:val="22"/>
          <w:u w:val="single"/>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C56A36">
        <w:rPr>
          <w:szCs w:val="22"/>
        </w:rPr>
        <w:t xml:space="preserve">Proposal are </w:t>
      </w:r>
      <w:r w:rsidRPr="0089264A">
        <w:rPr>
          <w:szCs w:val="22"/>
        </w:rPr>
        <w:t>available on the FSANZ website at</w:t>
      </w:r>
      <w:r w:rsidRPr="0089264A">
        <w:rPr>
          <w:color w:val="FF0000"/>
          <w:szCs w:val="22"/>
        </w:rPr>
        <w:t xml:space="preserve"> </w:t>
      </w:r>
      <w:hyperlink r:id="rId16" w:history="1">
        <w:r w:rsidR="003C20BC" w:rsidRPr="00B67A78">
          <w:rPr>
            <w:rStyle w:val="Hyperlink"/>
            <w:szCs w:val="22"/>
          </w:rPr>
          <w:t>http://www.foodstandards.gov.au/code/proposals/Pages/proposalp274reviewofminimumagelabellingoffoodsforinfants/Default.aspx</w:t>
        </w:r>
      </w:hyperlink>
      <w:r w:rsidR="003C20BC">
        <w:rPr>
          <w:color w:val="FF0000"/>
          <w:szCs w:val="22"/>
        </w:rPr>
        <w:t xml:space="preserve">. </w:t>
      </w:r>
    </w:p>
    <w:p w:rsidR="00D604DD" w:rsidRPr="0089264A" w:rsidRDefault="00D604DD" w:rsidP="001B6F44">
      <w:pPr>
        <w:rPr>
          <w:szCs w:val="22"/>
        </w:rPr>
      </w:pPr>
    </w:p>
    <w:p w:rsidR="00AA6FAC" w:rsidRPr="00C24B82" w:rsidRDefault="004B7D56" w:rsidP="00055B3D">
      <w:pPr>
        <w:ind w:left="1134" w:hanging="1134"/>
      </w:pPr>
      <w:r w:rsidRPr="00C24B82">
        <w:t>SD1</w:t>
      </w:r>
      <w:r w:rsidRPr="00C24B82">
        <w:tab/>
        <w:t>Risk Assessment</w:t>
      </w:r>
      <w:r w:rsidRPr="00C24B82">
        <w:rPr>
          <w:i/>
          <w:color w:val="1F497D"/>
          <w:szCs w:val="22"/>
        </w:rPr>
        <w:t xml:space="preserve"> </w:t>
      </w:r>
    </w:p>
    <w:p w:rsidR="004B7D56" w:rsidRPr="00C56A36" w:rsidRDefault="00C24B82" w:rsidP="00055B3D">
      <w:pPr>
        <w:ind w:left="1134" w:hanging="1134"/>
        <w:rPr>
          <w:rFonts w:cs="Arial"/>
          <w:b/>
        </w:rPr>
      </w:pPr>
      <w:r w:rsidRPr="00C24B82">
        <w:t>SD2</w:t>
      </w:r>
      <w:r w:rsidRPr="00C24B82">
        <w:tab/>
      </w:r>
      <w:r w:rsidR="00AA6FAC" w:rsidRPr="00C24B82">
        <w:t xml:space="preserve">Summary of submitter comments </w:t>
      </w:r>
      <w:r w:rsidR="00187F85">
        <w:t xml:space="preserve">to </w:t>
      </w:r>
      <w:r w:rsidR="00AA6FAC" w:rsidRPr="00C24B82">
        <w:t xml:space="preserve">October 2013 Consultation Paper </w:t>
      </w:r>
    </w:p>
    <w:p w:rsidR="004B7D56" w:rsidRDefault="004B7D56" w:rsidP="001B6F44">
      <w:r>
        <w:br w:type="page"/>
      </w:r>
    </w:p>
    <w:p w:rsidR="004B7D56" w:rsidRPr="00844148" w:rsidRDefault="004B7D56" w:rsidP="001B6F44">
      <w:pPr>
        <w:rPr>
          <w:lang w:bidi="ar-SA"/>
        </w:rPr>
      </w:pPr>
      <w:r w:rsidRPr="00A30E63">
        <w:rPr>
          <w:b/>
          <w:bCs/>
          <w:sz w:val="36"/>
          <w:szCs w:val="28"/>
          <w:lang w:bidi="ar-SA"/>
        </w:rPr>
        <w:lastRenderedPageBreak/>
        <w:t>Executive summary</w:t>
      </w:r>
      <w:r w:rsidRPr="00D56583">
        <w:rPr>
          <w:color w:val="00B050"/>
          <w:highlight w:val="yellow"/>
          <w:lang w:bidi="ar-SA"/>
        </w:rPr>
        <w:t xml:space="preserve"> </w:t>
      </w:r>
    </w:p>
    <w:p w:rsidR="004B7D56" w:rsidRPr="00C17075" w:rsidRDefault="004B7D56" w:rsidP="001B6F44">
      <w:pPr>
        <w:rPr>
          <w:lang w:bidi="ar-SA"/>
        </w:rPr>
      </w:pPr>
    </w:p>
    <w:p w:rsidR="004B7D56" w:rsidRPr="00C17075" w:rsidRDefault="00943790" w:rsidP="001B6F44">
      <w:r>
        <w:t>In Australia</w:t>
      </w:r>
      <w:r w:rsidR="00A846C4">
        <w:t>,</w:t>
      </w:r>
      <w:r>
        <w:t xml:space="preserve"> t</w:t>
      </w:r>
      <w:r w:rsidR="004B7D56" w:rsidRPr="00C17075">
        <w:t xml:space="preserve">he </w:t>
      </w:r>
      <w:r w:rsidR="004B7D56" w:rsidRPr="00C17075">
        <w:rPr>
          <w:rFonts w:cs="Arial"/>
        </w:rPr>
        <w:t xml:space="preserve">National Health and Medical Research Council </w:t>
      </w:r>
      <w:r w:rsidR="00220AE6" w:rsidRPr="00220AE6">
        <w:rPr>
          <w:rFonts w:cs="Arial"/>
        </w:rPr>
        <w:t>(</w:t>
      </w:r>
      <w:r w:rsidR="00220AE6" w:rsidRPr="00220AE6">
        <w:rPr>
          <w:rFonts w:cs="Arial"/>
          <w:noProof/>
          <w:szCs w:val="22"/>
          <w:lang w:val="en"/>
        </w:rPr>
        <w:t>NHMRC</w:t>
      </w:r>
      <w:r w:rsidR="00220AE6">
        <w:rPr>
          <w:rFonts w:cs="Arial"/>
          <w:noProof/>
          <w:szCs w:val="22"/>
          <w:lang w:val="en"/>
        </w:rPr>
        <w:t>)</w:t>
      </w:r>
      <w:r w:rsidR="00220AE6" w:rsidRPr="00C17075">
        <w:rPr>
          <w:rFonts w:cs="Arial"/>
        </w:rPr>
        <w:t xml:space="preserve"> </w:t>
      </w:r>
      <w:r w:rsidR="004B7D56" w:rsidRPr="00C17075">
        <w:rPr>
          <w:rFonts w:cs="Arial"/>
        </w:rPr>
        <w:t>1995 Dietary Guidelines for Children and Adolescents</w:t>
      </w:r>
      <w:r w:rsidR="004B7D56" w:rsidRPr="00C17075">
        <w:rPr>
          <w:rFonts w:cs="Arial"/>
          <w:szCs w:val="22"/>
          <w:lang w:val="en"/>
        </w:rPr>
        <w:t xml:space="preserve"> </w:t>
      </w:r>
      <w:r w:rsidR="004B7D56" w:rsidRPr="000D02A6">
        <w:t>advised</w:t>
      </w:r>
      <w:r w:rsidR="004B7D56" w:rsidRPr="00C17075">
        <w:t xml:space="preserve"> that the general timetable for </w:t>
      </w:r>
      <w:r w:rsidR="002F6C36">
        <w:t>introducing</w:t>
      </w:r>
      <w:r w:rsidR="004B7D56" w:rsidRPr="00C17075">
        <w:t xml:space="preserve"> foods starts at 4</w:t>
      </w:r>
      <w:r w:rsidR="00784537">
        <w:rPr>
          <w:rFonts w:cs="Arial"/>
        </w:rPr>
        <w:t>–</w:t>
      </w:r>
      <w:r w:rsidR="00220AE6">
        <w:t>6 months</w:t>
      </w:r>
      <w:r w:rsidR="004B7D56" w:rsidRPr="00C17075">
        <w:t xml:space="preserve">. Four months </w:t>
      </w:r>
      <w:r w:rsidR="00A846C4">
        <w:t>is</w:t>
      </w:r>
      <w:r w:rsidR="004B7D56" w:rsidRPr="00C17075">
        <w:t xml:space="preserve"> also the </w:t>
      </w:r>
      <w:r w:rsidR="00485D92">
        <w:t>minimum</w:t>
      </w:r>
      <w:r w:rsidR="00485D92" w:rsidRPr="00C17075">
        <w:t xml:space="preserve"> </w:t>
      </w:r>
      <w:r w:rsidR="000B3AC4">
        <w:t xml:space="preserve">(youngest) </w:t>
      </w:r>
      <w:r w:rsidR="004B7D56" w:rsidRPr="00C17075">
        <w:t xml:space="preserve">age permitted on infant food labels by Standard 2.9.2 – Foods for Infants. </w:t>
      </w:r>
    </w:p>
    <w:p w:rsidR="004B7D56" w:rsidRPr="00C17075" w:rsidRDefault="004B7D56" w:rsidP="001B6F44">
      <w:pPr>
        <w:rPr>
          <w:lang w:bidi="ar-SA"/>
        </w:rPr>
      </w:pPr>
    </w:p>
    <w:p w:rsidR="001B631D" w:rsidRPr="00C17075" w:rsidRDefault="004B7D56" w:rsidP="001B6F44">
      <w:pPr>
        <w:rPr>
          <w:rFonts w:cs="Arial"/>
          <w:szCs w:val="22"/>
        </w:rPr>
      </w:pPr>
      <w:r w:rsidRPr="00C17075">
        <w:rPr>
          <w:lang w:bidi="ar-SA"/>
        </w:rPr>
        <w:t xml:space="preserve">This Proposal commenced in 2003 after the </w:t>
      </w:r>
      <w:r w:rsidRPr="00C17075">
        <w:t xml:space="preserve">(then) Ministerial Council </w:t>
      </w:r>
      <w:r w:rsidR="002F6C36">
        <w:t>asked</w:t>
      </w:r>
      <w:r w:rsidRPr="00C17075">
        <w:t xml:space="preserve"> FSANZ </w:t>
      </w:r>
      <w:r w:rsidR="002F6C36">
        <w:t xml:space="preserve">to </w:t>
      </w:r>
      <w:r w:rsidRPr="00C17075">
        <w:t xml:space="preserve">prepare a proposal to undertake a review of Standard 2.9.2, following release of </w:t>
      </w:r>
      <w:r w:rsidR="000D02A6">
        <w:t>the 2003</w:t>
      </w:r>
      <w:r w:rsidR="005A034C">
        <w:t xml:space="preserve"> </w:t>
      </w:r>
      <w:r w:rsidRPr="00C17075">
        <w:t>NHMRC Infant Feeding Guidelines</w:t>
      </w:r>
      <w:r w:rsidR="0099739F">
        <w:t xml:space="preserve"> for Health Workers</w:t>
      </w:r>
      <w:r w:rsidRPr="00C17075">
        <w:t xml:space="preserve"> which </w:t>
      </w:r>
      <w:r w:rsidR="0099739F">
        <w:t>recommended</w:t>
      </w:r>
      <w:r w:rsidRPr="00C17075">
        <w:t xml:space="preserve"> </w:t>
      </w:r>
      <w:r w:rsidR="006044D0">
        <w:t xml:space="preserve">for the first time </w:t>
      </w:r>
      <w:r w:rsidRPr="00C17075">
        <w:t xml:space="preserve">that solids be introduced at </w:t>
      </w:r>
      <w:r w:rsidR="00B6785C">
        <w:t>‘</w:t>
      </w:r>
      <w:r w:rsidRPr="00C17075">
        <w:t>around 6 months</w:t>
      </w:r>
      <w:r w:rsidR="00B6785C">
        <w:t>’</w:t>
      </w:r>
      <w:r w:rsidR="0099739F">
        <w:t xml:space="preserve"> of age</w:t>
      </w:r>
      <w:r w:rsidRPr="00C17075">
        <w:t xml:space="preserve">. FSANZ was asked to take account of inconsistencies </w:t>
      </w:r>
      <w:r w:rsidR="000D34B8">
        <w:t xml:space="preserve">between Standard 2.9.2 and the </w:t>
      </w:r>
      <w:r w:rsidR="000D02A6">
        <w:t>2003</w:t>
      </w:r>
      <w:r w:rsidR="000D34B8">
        <w:t xml:space="preserve"> guidelines</w:t>
      </w:r>
      <w:r w:rsidR="000D34B8" w:rsidRPr="00C17075">
        <w:t xml:space="preserve"> </w:t>
      </w:r>
      <w:r w:rsidR="00647CB1">
        <w:t xml:space="preserve">and </w:t>
      </w:r>
      <w:r w:rsidRPr="00C17075">
        <w:t xml:space="preserve">their impact as part of the review. </w:t>
      </w:r>
      <w:r w:rsidRPr="00C17075">
        <w:rPr>
          <w:szCs w:val="22"/>
        </w:rPr>
        <w:t xml:space="preserve">The Ministers also asked that </w:t>
      </w:r>
      <w:r w:rsidR="00B04EF7">
        <w:rPr>
          <w:szCs w:val="22"/>
        </w:rPr>
        <w:t xml:space="preserve">the corresponding </w:t>
      </w:r>
      <w:r w:rsidRPr="00C17075">
        <w:rPr>
          <w:szCs w:val="22"/>
        </w:rPr>
        <w:t xml:space="preserve">New Zealand guidelines be accommodated. </w:t>
      </w:r>
      <w:r w:rsidR="003C20BC">
        <w:rPr>
          <w:szCs w:val="22"/>
        </w:rPr>
        <w:t xml:space="preserve">Completion </w:t>
      </w:r>
      <w:r w:rsidR="003C20BC" w:rsidRPr="00220AE6">
        <w:rPr>
          <w:szCs w:val="22"/>
        </w:rPr>
        <w:t>of t</w:t>
      </w:r>
      <w:r w:rsidR="001B631D" w:rsidRPr="00220AE6">
        <w:rPr>
          <w:szCs w:val="22"/>
        </w:rPr>
        <w:t xml:space="preserve">he project has been </w:t>
      </w:r>
      <w:r w:rsidR="003C20BC" w:rsidRPr="00220AE6">
        <w:rPr>
          <w:szCs w:val="22"/>
        </w:rPr>
        <w:t>delayed</w:t>
      </w:r>
      <w:r w:rsidR="001B631D" w:rsidRPr="00220AE6">
        <w:rPr>
          <w:szCs w:val="22"/>
        </w:rPr>
        <w:t xml:space="preserve"> twice, firstly </w:t>
      </w:r>
      <w:r w:rsidR="0060214E" w:rsidRPr="00220AE6">
        <w:rPr>
          <w:szCs w:val="22"/>
        </w:rPr>
        <w:t>in</w:t>
      </w:r>
      <w:r w:rsidR="001B631D" w:rsidRPr="00220AE6">
        <w:rPr>
          <w:szCs w:val="22"/>
        </w:rPr>
        <w:t xml:space="preserve"> 2004 due to </w:t>
      </w:r>
      <w:r w:rsidR="0093072A">
        <w:rPr>
          <w:szCs w:val="22"/>
        </w:rPr>
        <w:t xml:space="preserve">competing </w:t>
      </w:r>
      <w:r w:rsidR="001B631D" w:rsidRPr="00220AE6">
        <w:rPr>
          <w:szCs w:val="22"/>
        </w:rPr>
        <w:t>priorities</w:t>
      </w:r>
      <w:r w:rsidR="00220AE6">
        <w:rPr>
          <w:szCs w:val="22"/>
        </w:rPr>
        <w:t>,</w:t>
      </w:r>
      <w:r w:rsidR="001B631D" w:rsidRPr="00220AE6">
        <w:rPr>
          <w:szCs w:val="22"/>
        </w:rPr>
        <w:t xml:space="preserve"> and more recently in 2008 </w:t>
      </w:r>
      <w:r w:rsidR="000D02A6">
        <w:rPr>
          <w:szCs w:val="22"/>
        </w:rPr>
        <w:t xml:space="preserve">while </w:t>
      </w:r>
      <w:r w:rsidR="00220AE6">
        <w:rPr>
          <w:szCs w:val="22"/>
        </w:rPr>
        <w:t>awaiting review of</w:t>
      </w:r>
      <w:r w:rsidR="001B631D" w:rsidRPr="00220AE6">
        <w:rPr>
          <w:szCs w:val="22"/>
        </w:rPr>
        <w:t xml:space="preserve"> the 2003 </w:t>
      </w:r>
      <w:r w:rsidR="00220AE6" w:rsidRPr="00220AE6">
        <w:rPr>
          <w:szCs w:val="22"/>
        </w:rPr>
        <w:t>NHMRC (</w:t>
      </w:r>
      <w:r w:rsidR="001B631D" w:rsidRPr="00220AE6">
        <w:rPr>
          <w:szCs w:val="22"/>
        </w:rPr>
        <w:t>Australian</w:t>
      </w:r>
      <w:r w:rsidR="00220AE6" w:rsidRPr="00220AE6">
        <w:rPr>
          <w:szCs w:val="22"/>
        </w:rPr>
        <w:t>)</w:t>
      </w:r>
      <w:r w:rsidR="000E5A81" w:rsidRPr="000E5A81">
        <w:t xml:space="preserve"> </w:t>
      </w:r>
      <w:r w:rsidR="000E5A81" w:rsidRPr="00CA6A02">
        <w:t>infant feeding guidelines</w:t>
      </w:r>
      <w:r w:rsidR="00B04EF7">
        <w:t>,</w:t>
      </w:r>
      <w:r w:rsidR="00106707">
        <w:rPr>
          <w:szCs w:val="22"/>
        </w:rPr>
        <w:t xml:space="preserve"> which were </w:t>
      </w:r>
      <w:r w:rsidR="000D34B8">
        <w:rPr>
          <w:szCs w:val="22"/>
        </w:rPr>
        <w:t xml:space="preserve">subsequently </w:t>
      </w:r>
      <w:r w:rsidR="00106707">
        <w:rPr>
          <w:szCs w:val="22"/>
        </w:rPr>
        <w:t>r</w:t>
      </w:r>
      <w:r w:rsidR="001B631D">
        <w:rPr>
          <w:szCs w:val="22"/>
        </w:rPr>
        <w:t>eleased in 2013.</w:t>
      </w:r>
    </w:p>
    <w:p w:rsidR="004B7D56" w:rsidRPr="00C17075" w:rsidRDefault="004B7D56" w:rsidP="001B6F44">
      <w:pPr>
        <w:pStyle w:val="Footer"/>
        <w:tabs>
          <w:tab w:val="center" w:pos="4320"/>
          <w:tab w:val="right" w:pos="8640"/>
        </w:tabs>
        <w:rPr>
          <w:sz w:val="22"/>
        </w:rPr>
      </w:pPr>
    </w:p>
    <w:p w:rsidR="004B7D56" w:rsidRPr="0040264D" w:rsidRDefault="004B7D56" w:rsidP="001B6F44">
      <w:pPr>
        <w:autoSpaceDE w:val="0"/>
        <w:autoSpaceDN w:val="0"/>
        <w:adjustRightInd w:val="0"/>
      </w:pPr>
      <w:r>
        <w:t xml:space="preserve">Several public consultations were held over the life of the Proposal, each time proposing </w:t>
      </w:r>
      <w:r w:rsidRPr="00DA5BA4">
        <w:t xml:space="preserve">to amend Standard </w:t>
      </w:r>
      <w:r>
        <w:t xml:space="preserve">2.9.2 by raising the minimum age on infant foods from 4 months to ‘around 6 months’ in keeping with recommendations from both the Australian </w:t>
      </w:r>
      <w:r w:rsidR="00A32C68">
        <w:t xml:space="preserve">infant feeding </w:t>
      </w:r>
      <w:r w:rsidR="00A32C68">
        <w:rPr>
          <w:szCs w:val="22"/>
          <w:lang w:bidi="ar-SA"/>
        </w:rPr>
        <w:t xml:space="preserve">guidelines </w:t>
      </w:r>
      <w:r w:rsidR="00220AE6">
        <w:t xml:space="preserve">(2003, 2013) </w:t>
      </w:r>
      <w:r>
        <w:t xml:space="preserve">and </w:t>
      </w:r>
      <w:r w:rsidR="004A6D67">
        <w:t xml:space="preserve">the </w:t>
      </w:r>
      <w:r w:rsidR="00943790">
        <w:t xml:space="preserve">New Zealand </w:t>
      </w:r>
      <w:r w:rsidR="00943790" w:rsidRPr="00825AB7">
        <w:rPr>
          <w:szCs w:val="22"/>
          <w:lang w:bidi="ar-SA"/>
        </w:rPr>
        <w:t>Food and Nutrition Guidelines for Healthy Infants and Toddlers</w:t>
      </w:r>
      <w:r w:rsidR="00943790">
        <w:rPr>
          <w:szCs w:val="22"/>
          <w:lang w:bidi="ar-SA"/>
        </w:rPr>
        <w:t xml:space="preserve"> </w:t>
      </w:r>
      <w:r w:rsidR="00943790">
        <w:t>(Ministry of Health 2008)</w:t>
      </w:r>
      <w:r w:rsidR="00B04EF7">
        <w:rPr>
          <w:szCs w:val="22"/>
          <w:lang w:bidi="ar-SA"/>
        </w:rPr>
        <w:t>.</w:t>
      </w:r>
    </w:p>
    <w:p w:rsidR="004B7D56" w:rsidRPr="00584B30" w:rsidRDefault="004B7D56" w:rsidP="001B6F44">
      <w:pPr>
        <w:rPr>
          <w:b/>
          <w:lang w:bidi="ar-SA"/>
        </w:rPr>
      </w:pPr>
    </w:p>
    <w:p w:rsidR="004B7D56" w:rsidRDefault="004B7D56" w:rsidP="001B6F44">
      <w:pPr>
        <w:rPr>
          <w:szCs w:val="22"/>
        </w:rPr>
      </w:pPr>
      <w:r w:rsidRPr="001B631D">
        <w:rPr>
          <w:lang w:bidi="ar-SA"/>
        </w:rPr>
        <w:t xml:space="preserve">The proposed amendment to Standard 2.9.2 was more strongly supported in the earlier consultations before 2008. By 2013, </w:t>
      </w:r>
      <w:r w:rsidRPr="001B631D">
        <w:t xml:space="preserve">stakeholder views </w:t>
      </w:r>
      <w:r w:rsidR="00B04EF7">
        <w:t>had</w:t>
      </w:r>
      <w:r w:rsidRPr="001B631D">
        <w:t xml:space="preserve"> divided into two clear groups i.e. industry and allergy specialist</w:t>
      </w:r>
      <w:r w:rsidR="002F6C36" w:rsidRPr="001B631D">
        <w:t>s</w:t>
      </w:r>
      <w:r w:rsidRPr="001B631D">
        <w:t xml:space="preserve"> did not support </w:t>
      </w:r>
      <w:r w:rsidR="002F6C36" w:rsidRPr="001B631D">
        <w:t xml:space="preserve">a </w:t>
      </w:r>
      <w:r w:rsidRPr="001B631D">
        <w:t>change whereas jurisdictions and other health professionals and health groups supported changing the labelling requirements. However, in</w:t>
      </w:r>
      <w:r w:rsidRPr="001B631D">
        <w:rPr>
          <w:lang w:bidi="ar-SA"/>
        </w:rPr>
        <w:t xml:space="preserve"> 2014 when the possibility of retaining the status quo was discussed, some stakeholder views changed within some groups. This </w:t>
      </w:r>
      <w:r w:rsidRPr="001B631D">
        <w:rPr>
          <w:szCs w:val="22"/>
          <w:lang w:bidi="ar-SA"/>
        </w:rPr>
        <w:t xml:space="preserve">divergence of views over time partly related to emerging evidence linking the timing of </w:t>
      </w:r>
      <w:r w:rsidR="00B168A3">
        <w:rPr>
          <w:szCs w:val="22"/>
          <w:lang w:bidi="ar-SA"/>
        </w:rPr>
        <w:t xml:space="preserve">introduction of </w:t>
      </w:r>
      <w:r w:rsidRPr="001B631D">
        <w:rPr>
          <w:szCs w:val="22"/>
          <w:lang w:bidi="ar-SA"/>
        </w:rPr>
        <w:t xml:space="preserve">solids and allergy prevention. Also, </w:t>
      </w:r>
      <w:r w:rsidR="0021758D">
        <w:rPr>
          <w:szCs w:val="22"/>
          <w:lang w:bidi="ar-SA"/>
        </w:rPr>
        <w:t xml:space="preserve">over time, </w:t>
      </w:r>
      <w:r w:rsidRPr="001B631D">
        <w:rPr>
          <w:szCs w:val="22"/>
          <w:lang w:bidi="ar-SA"/>
        </w:rPr>
        <w:t>the food industry identified f</w:t>
      </w:r>
      <w:r w:rsidRPr="001B631D">
        <w:rPr>
          <w:szCs w:val="22"/>
        </w:rPr>
        <w:t xml:space="preserve">urther details of </w:t>
      </w:r>
      <w:r w:rsidR="00B04EF7">
        <w:rPr>
          <w:szCs w:val="22"/>
        </w:rPr>
        <w:t>impacts</w:t>
      </w:r>
      <w:r w:rsidR="002F6C36" w:rsidRPr="001B631D">
        <w:rPr>
          <w:szCs w:val="22"/>
        </w:rPr>
        <w:t xml:space="preserve"> </w:t>
      </w:r>
      <w:r w:rsidRPr="001B631D">
        <w:rPr>
          <w:szCs w:val="22"/>
        </w:rPr>
        <w:t>and costs of the proposed change</w:t>
      </w:r>
      <w:r w:rsidR="005510B6">
        <w:rPr>
          <w:szCs w:val="22"/>
        </w:rPr>
        <w:t xml:space="preserve"> </w:t>
      </w:r>
      <w:r w:rsidR="005510B6">
        <w:t>that might arise from amending the standard</w:t>
      </w:r>
      <w:r w:rsidRPr="001B631D">
        <w:rPr>
          <w:szCs w:val="22"/>
        </w:rPr>
        <w:t xml:space="preserve">. </w:t>
      </w:r>
    </w:p>
    <w:p w:rsidR="00647CB1" w:rsidRPr="001B631D" w:rsidRDefault="00647CB1" w:rsidP="001B6F44">
      <w:pPr>
        <w:rPr>
          <w:szCs w:val="22"/>
        </w:rPr>
      </w:pPr>
    </w:p>
    <w:p w:rsidR="00AC3574" w:rsidRDefault="004B7D56" w:rsidP="001B6F44">
      <w:r w:rsidRPr="002E293A">
        <w:t>FSANZ prepared risk assessments re</w:t>
      </w:r>
      <w:r>
        <w:t xml:space="preserve">lating to the appropriate age for </w:t>
      </w:r>
      <w:r w:rsidR="002F6C36">
        <w:t xml:space="preserve">introducing </w:t>
      </w:r>
      <w:r w:rsidRPr="002E293A">
        <w:t>solid</w:t>
      </w:r>
      <w:r>
        <w:t xml:space="preserve"> foods in 2004 and again in 2008, 2013 and 2014. Although the risk assessment in 2008 covered a broad range of health effects, the 2013 assessment focussed largely on the main area of new evidence (development of food allergies), and the 2014 assessment primarily addressed new matters raised in response to the 2013 consultation. </w:t>
      </w:r>
    </w:p>
    <w:p w:rsidR="00AC3574" w:rsidRDefault="00AC3574" w:rsidP="001B6F44"/>
    <w:p w:rsidR="00943790" w:rsidRDefault="004B7D56" w:rsidP="001B6F44">
      <w:pPr>
        <w:rPr>
          <w:szCs w:val="22"/>
        </w:rPr>
      </w:pPr>
      <w:r>
        <w:t xml:space="preserve">After weighing all the relevant available evidence across a range of health outcomes, including growth and development, allergy development, nutrient deficiencies and infections, FSANZ </w:t>
      </w:r>
      <w:r w:rsidRPr="00DF104A">
        <w:t>consider</w:t>
      </w:r>
      <w:r>
        <w:t xml:space="preserve">ed </w:t>
      </w:r>
      <w:r w:rsidRPr="00DF104A">
        <w:t xml:space="preserve">that in Australia and New Zealand, </w:t>
      </w:r>
      <w:r w:rsidRPr="00DF104A">
        <w:rPr>
          <w:szCs w:val="22"/>
        </w:rPr>
        <w:t xml:space="preserve">there is </w:t>
      </w:r>
      <w:r w:rsidR="00943790" w:rsidRPr="00C36E19">
        <w:rPr>
          <w:rFonts w:cs="Arial"/>
        </w:rPr>
        <w:t xml:space="preserve">no </w:t>
      </w:r>
      <w:r w:rsidR="00943790" w:rsidRPr="00C36E19">
        <w:t>differen</w:t>
      </w:r>
      <w:r w:rsidR="00A43665" w:rsidRPr="00C36E19">
        <w:t>ce in</w:t>
      </w:r>
      <w:r w:rsidR="00943790" w:rsidRPr="00C36E19">
        <w:t xml:space="preserve"> risk of</w:t>
      </w:r>
      <w:r w:rsidR="00943790" w:rsidRPr="00C65967">
        <w:t xml:space="preserve"> harm from the introduction of solids from </w:t>
      </w:r>
      <w:r w:rsidR="00943790">
        <w:t>‘</w:t>
      </w:r>
      <w:r w:rsidR="00943790" w:rsidRPr="00C65967">
        <w:t>4 months of age</w:t>
      </w:r>
      <w:r w:rsidR="00943790">
        <w:t>’</w:t>
      </w:r>
      <w:r w:rsidR="00943790" w:rsidRPr="00C65967">
        <w:t xml:space="preserve">, </w:t>
      </w:r>
      <w:r w:rsidR="00943790">
        <w:t xml:space="preserve">relative to </w:t>
      </w:r>
      <w:r w:rsidR="00943790" w:rsidRPr="00C65967">
        <w:t>introducing solids at ‘around 6 months</w:t>
      </w:r>
      <w:r w:rsidR="00943790">
        <w:t>’</w:t>
      </w:r>
      <w:r w:rsidR="00943790" w:rsidRPr="00C65967">
        <w:t xml:space="preserve"> </w:t>
      </w:r>
      <w:r w:rsidR="00943790" w:rsidRPr="00C65967">
        <w:rPr>
          <w:rFonts w:cs="Arial"/>
        </w:rPr>
        <w:t>of age</w:t>
      </w:r>
      <w:r w:rsidR="00943790">
        <w:rPr>
          <w:rFonts w:cs="Arial"/>
        </w:rPr>
        <w:t>.</w:t>
      </w:r>
    </w:p>
    <w:p w:rsidR="004B7D56" w:rsidRDefault="004B7D56" w:rsidP="001B6F44">
      <w:pPr>
        <w:rPr>
          <w:szCs w:val="22"/>
        </w:rPr>
      </w:pPr>
    </w:p>
    <w:p w:rsidR="00055B3D" w:rsidRDefault="00DD5413" w:rsidP="001B6F44">
      <w:pPr>
        <w:rPr>
          <w:rFonts w:cs="Arial"/>
        </w:rPr>
      </w:pPr>
      <w:r w:rsidRPr="001B29CB">
        <w:t xml:space="preserve">In 2014, FSANZ liaised with NHMRC to </w:t>
      </w:r>
      <w:r w:rsidRPr="001B29CB">
        <w:rPr>
          <w:szCs w:val="22"/>
        </w:rPr>
        <w:t>identify commonalities in the assessments undertaken by the two agencies</w:t>
      </w:r>
      <w:r>
        <w:rPr>
          <w:szCs w:val="22"/>
        </w:rPr>
        <w:t xml:space="preserve"> </w:t>
      </w:r>
      <w:r w:rsidRPr="001B29CB">
        <w:rPr>
          <w:szCs w:val="22"/>
        </w:rPr>
        <w:t>and to understand the reasons for apparent differences in how the</w:t>
      </w:r>
      <w:r>
        <w:rPr>
          <w:szCs w:val="22"/>
        </w:rPr>
        <w:t xml:space="preserve"> respective</w:t>
      </w:r>
      <w:r w:rsidRPr="001B29CB">
        <w:rPr>
          <w:szCs w:val="22"/>
        </w:rPr>
        <w:t xml:space="preserve"> assessments were used. </w:t>
      </w:r>
      <w:r w:rsidRPr="001B29CB">
        <w:t xml:space="preserve">As a result, </w:t>
      </w:r>
      <w:r w:rsidRPr="001B29CB">
        <w:rPr>
          <w:rFonts w:cs="Arial"/>
          <w:lang w:val="en-AU"/>
        </w:rPr>
        <w:t xml:space="preserve">FSANZ considered that there was no inconsistency in the </w:t>
      </w:r>
      <w:r>
        <w:rPr>
          <w:rFonts w:cs="Arial"/>
          <w:lang w:val="en-AU"/>
        </w:rPr>
        <w:t>assessment of</w:t>
      </w:r>
      <w:r w:rsidRPr="001B29CB">
        <w:rPr>
          <w:rFonts w:cs="Arial"/>
          <w:lang w:val="en-AU"/>
        </w:rPr>
        <w:t xml:space="preserve"> the evidence underpinning the labelling age (from 4 months), and the infant feeding guidelines (‘around 6 months’), even though different points in the age range 4</w:t>
      </w:r>
      <w:r>
        <w:rPr>
          <w:rFonts w:cs="Arial"/>
          <w:lang w:val="en-AU"/>
        </w:rPr>
        <w:t>–</w:t>
      </w:r>
      <w:r w:rsidRPr="001B29CB">
        <w:rPr>
          <w:rFonts w:cs="Arial"/>
          <w:lang w:val="en-AU"/>
        </w:rPr>
        <w:t>&lt;7 months were chosen by the two agencies</w:t>
      </w:r>
      <w:r>
        <w:rPr>
          <w:rFonts w:cs="Arial"/>
          <w:lang w:val="en-AU"/>
        </w:rPr>
        <w:t xml:space="preserve"> for their advice</w:t>
      </w:r>
      <w:r w:rsidRPr="001B29CB">
        <w:rPr>
          <w:rFonts w:cs="Arial"/>
          <w:lang w:val="en-AU"/>
        </w:rPr>
        <w:t xml:space="preserve">. </w:t>
      </w:r>
      <w:r w:rsidRPr="001B29CB">
        <w:t xml:space="preserve">Apparent differences between the </w:t>
      </w:r>
      <w:r>
        <w:t xml:space="preserve">two </w:t>
      </w:r>
      <w:r w:rsidRPr="001B29CB">
        <w:t>agencies’ use of the assessments reflect the differ</w:t>
      </w:r>
      <w:r>
        <w:t xml:space="preserve">ent purposes of their work. </w:t>
      </w:r>
      <w:r>
        <w:rPr>
          <w:rFonts w:cs="Arial"/>
        </w:rPr>
        <w:t>Food regulations must provide a high degree of certainty to protect public health and safety, whereas population guidelines directed to health workers can be more flexible to take account of the needs of individual infants.</w:t>
      </w:r>
      <w:r w:rsidR="00055B3D">
        <w:rPr>
          <w:rFonts w:cs="Arial"/>
        </w:rPr>
        <w:br w:type="page"/>
      </w:r>
    </w:p>
    <w:p w:rsidR="004B7D56" w:rsidRDefault="004B7D56" w:rsidP="001B6F44">
      <w:r>
        <w:lastRenderedPageBreak/>
        <w:t xml:space="preserve">Given the assessed lack of difference in health risk, </w:t>
      </w:r>
      <w:r w:rsidRPr="00B369E6">
        <w:rPr>
          <w:rFonts w:cs="Arial"/>
        </w:rPr>
        <w:t xml:space="preserve">FSANZ </w:t>
      </w:r>
      <w:r>
        <w:rPr>
          <w:rFonts w:cs="Arial"/>
        </w:rPr>
        <w:t>r</w:t>
      </w:r>
      <w:r>
        <w:t xml:space="preserve">econsidered the basis of the problem and </w:t>
      </w:r>
      <w:r w:rsidRPr="00B43FBB">
        <w:t>how best to approach the labelling of infant food</w:t>
      </w:r>
      <w:r>
        <w:t xml:space="preserve">. The Office of Best Practice Regulation </w:t>
      </w:r>
      <w:r w:rsidR="0076617A">
        <w:t xml:space="preserve">(OBPR) </w:t>
      </w:r>
      <w:r w:rsidRPr="0000419B">
        <w:rPr>
          <w:rFonts w:cs="Arial"/>
          <w:szCs w:val="22"/>
        </w:rPr>
        <w:t xml:space="preserve">in Australia </w:t>
      </w:r>
      <w:r>
        <w:t xml:space="preserve">advised that it does not regard inconsistency between national </w:t>
      </w:r>
      <w:r w:rsidR="00A32C68">
        <w:t>guidelines</w:t>
      </w:r>
      <w:r>
        <w:t xml:space="preserve"> and labelling as a problem unless there is harm arising from any such inconsistency. </w:t>
      </w:r>
    </w:p>
    <w:p w:rsidR="00EF6E24" w:rsidRDefault="00EF6E24" w:rsidP="001B6F44"/>
    <w:p w:rsidR="004B7D56" w:rsidRPr="00D31CD9" w:rsidRDefault="004B7D56" w:rsidP="00D31CD9">
      <w:pPr>
        <w:pStyle w:val="Subclause"/>
        <w:rPr>
          <w:sz w:val="22"/>
          <w:szCs w:val="22"/>
        </w:rPr>
      </w:pPr>
      <w:r w:rsidRPr="00D31CD9">
        <w:rPr>
          <w:sz w:val="22"/>
          <w:szCs w:val="22"/>
        </w:rPr>
        <w:t>FSANZ concluded that the current age requirements for labelling of infant food</w:t>
      </w:r>
      <w:r w:rsidR="00BA1351">
        <w:rPr>
          <w:sz w:val="22"/>
          <w:szCs w:val="22"/>
        </w:rPr>
        <w:t xml:space="preserve"> prescribed</w:t>
      </w:r>
      <w:r w:rsidRPr="00D31CD9">
        <w:rPr>
          <w:sz w:val="22"/>
          <w:szCs w:val="22"/>
        </w:rPr>
        <w:t xml:space="preserve"> </w:t>
      </w:r>
      <w:r w:rsidR="00D31CD9" w:rsidRPr="00D31CD9">
        <w:rPr>
          <w:sz w:val="22"/>
          <w:szCs w:val="22"/>
        </w:rPr>
        <w:t xml:space="preserve">in </w:t>
      </w:r>
      <w:r w:rsidR="00BA1351">
        <w:rPr>
          <w:sz w:val="22"/>
          <w:szCs w:val="22"/>
        </w:rPr>
        <w:t xml:space="preserve">subclauses 5(2) and 5(3) of </w:t>
      </w:r>
      <w:r w:rsidR="00D31CD9" w:rsidRPr="00D31CD9">
        <w:rPr>
          <w:sz w:val="22"/>
          <w:szCs w:val="22"/>
        </w:rPr>
        <w:t xml:space="preserve">Standard 2.9.2 </w:t>
      </w:r>
      <w:r w:rsidR="00C36E19">
        <w:rPr>
          <w:sz w:val="22"/>
          <w:szCs w:val="22"/>
        </w:rPr>
        <w:t xml:space="preserve">(refer to section 1.2) </w:t>
      </w:r>
      <w:r w:rsidRPr="00D31CD9">
        <w:rPr>
          <w:sz w:val="22"/>
          <w:szCs w:val="22"/>
        </w:rPr>
        <w:t xml:space="preserve">were unlikely to result in harm to infants. </w:t>
      </w:r>
    </w:p>
    <w:p w:rsidR="00BD5FDC" w:rsidRPr="00D31CD9" w:rsidRDefault="00BD5FDC" w:rsidP="001B6F44">
      <w:pPr>
        <w:rPr>
          <w:szCs w:val="22"/>
        </w:rPr>
      </w:pPr>
    </w:p>
    <w:p w:rsidR="004B7D56" w:rsidRDefault="004B7D56" w:rsidP="001B6F44">
      <w:r>
        <w:t xml:space="preserve">On that basis, amending the age labelling requirements in Standard 2.9.2 </w:t>
      </w:r>
      <w:r w:rsidR="0053012D">
        <w:t xml:space="preserve">in the manner proposed in the draft variation </w:t>
      </w:r>
      <w:r w:rsidR="005C346D">
        <w:t>was not considered warranted, having regard to the applicable statutory objectives and considerations. The</w:t>
      </w:r>
      <w:r>
        <w:t xml:space="preserve"> draft variation was </w:t>
      </w:r>
      <w:r w:rsidR="005C346D">
        <w:t xml:space="preserve">therefore </w:t>
      </w:r>
      <w:r>
        <w:t xml:space="preserve">rejected. </w:t>
      </w:r>
    </w:p>
    <w:p w:rsidR="003C20BC" w:rsidRPr="00E56E79" w:rsidRDefault="003C20BC" w:rsidP="001B6F44">
      <w:pPr>
        <w:pStyle w:val="Heading1"/>
        <w:ind w:left="567" w:hanging="567"/>
        <w:rPr>
          <w:sz w:val="22"/>
        </w:rPr>
      </w:pPr>
      <w:bookmarkStart w:id="9" w:name="_Toc395777835"/>
      <w:r w:rsidRPr="00E56E79">
        <w:rPr>
          <w:sz w:val="22"/>
        </w:rPr>
        <w:br w:type="page"/>
      </w:r>
    </w:p>
    <w:p w:rsidR="004B7D56" w:rsidRPr="00290898" w:rsidRDefault="004B7D56" w:rsidP="003F09C9">
      <w:pPr>
        <w:pStyle w:val="Heading1"/>
        <w:keepNext w:val="0"/>
      </w:pPr>
      <w:bookmarkStart w:id="10" w:name="_Toc400022167"/>
      <w:r w:rsidRPr="00290898">
        <w:lastRenderedPageBreak/>
        <w:t>1</w:t>
      </w:r>
      <w:r w:rsidRPr="00290898">
        <w:tab/>
        <w:t>Introduction</w:t>
      </w:r>
      <w:bookmarkEnd w:id="9"/>
      <w:bookmarkEnd w:id="10"/>
    </w:p>
    <w:p w:rsidR="004B7D56" w:rsidRDefault="00943790" w:rsidP="001B6F44">
      <w:r>
        <w:t>In</w:t>
      </w:r>
      <w:r w:rsidRPr="00943790">
        <w:t xml:space="preserve"> Australia</w:t>
      </w:r>
      <w:r w:rsidR="00A846C4">
        <w:t>,</w:t>
      </w:r>
      <w:r w:rsidRPr="00943790">
        <w:t xml:space="preserve"> </w:t>
      </w:r>
      <w:r w:rsidR="009B5D83" w:rsidRPr="00943790">
        <w:t>t</w:t>
      </w:r>
      <w:r w:rsidR="009B5D83" w:rsidRPr="00943790">
        <w:rPr>
          <w:rFonts w:cs="Arial"/>
        </w:rPr>
        <w:t xml:space="preserve">he </w:t>
      </w:r>
      <w:r w:rsidR="004B7D56" w:rsidRPr="00943790">
        <w:rPr>
          <w:rFonts w:cs="Arial"/>
        </w:rPr>
        <w:t>National</w:t>
      </w:r>
      <w:r w:rsidR="004B7D56" w:rsidRPr="00712EAF">
        <w:rPr>
          <w:rFonts w:cs="Arial"/>
        </w:rPr>
        <w:t xml:space="preserve"> Health and M</w:t>
      </w:r>
      <w:r w:rsidR="004B7D56">
        <w:rPr>
          <w:rFonts w:cs="Arial"/>
        </w:rPr>
        <w:t>edical Research Council</w:t>
      </w:r>
      <w:r w:rsidR="002073B6">
        <w:rPr>
          <w:rFonts w:cs="Arial"/>
        </w:rPr>
        <w:t xml:space="preserve"> </w:t>
      </w:r>
      <w:r w:rsidR="004B7D56">
        <w:rPr>
          <w:rFonts w:cs="Arial"/>
        </w:rPr>
        <w:t xml:space="preserve">1995 Dietary Guidelines for Children </w:t>
      </w:r>
      <w:r w:rsidR="004B7D56" w:rsidRPr="0096235E">
        <w:rPr>
          <w:rFonts w:cs="Arial"/>
        </w:rPr>
        <w:t>and Adolescents</w:t>
      </w:r>
      <w:r w:rsidR="004B7D56" w:rsidRPr="0096235E">
        <w:rPr>
          <w:rFonts w:cs="Arial"/>
          <w:szCs w:val="22"/>
          <w:lang w:val="en"/>
        </w:rPr>
        <w:t xml:space="preserve"> </w:t>
      </w:r>
      <w:r w:rsidR="004B7D56">
        <w:rPr>
          <w:rFonts w:cs="Arial"/>
          <w:noProof/>
          <w:szCs w:val="22"/>
          <w:lang w:val="en"/>
        </w:rPr>
        <w:t>(NHMRC 1995)</w:t>
      </w:r>
      <w:r w:rsidR="004B7D56" w:rsidRPr="0096235E">
        <w:rPr>
          <w:rFonts w:cs="Arial"/>
          <w:szCs w:val="22"/>
          <w:lang w:val="en"/>
        </w:rPr>
        <w:t xml:space="preserve"> </w:t>
      </w:r>
      <w:r w:rsidR="004B7D56" w:rsidRPr="0096235E">
        <w:t xml:space="preserve">noted that </w:t>
      </w:r>
      <w:r w:rsidR="004B7D56" w:rsidRPr="00A32C68">
        <w:rPr>
          <w:i/>
        </w:rPr>
        <w:t>traditionally the period between 4</w:t>
      </w:r>
      <w:r w:rsidR="00CA6A02" w:rsidRPr="00A32C68">
        <w:rPr>
          <w:i/>
        </w:rPr>
        <w:t>–</w:t>
      </w:r>
      <w:r w:rsidR="004B7D56" w:rsidRPr="00A32C68">
        <w:rPr>
          <w:i/>
        </w:rPr>
        <w:t>6 months of age has been viewed as suitable for infants to begin to adapt to different foods</w:t>
      </w:r>
      <w:r w:rsidR="004B7D56" w:rsidRPr="0096235E">
        <w:t xml:space="preserve"> and also </w:t>
      </w:r>
      <w:r w:rsidR="004B7D56" w:rsidRPr="00A32C68">
        <w:rPr>
          <w:i/>
        </w:rPr>
        <w:t>the general timetable for the introduction of foods starts with iron enriched foods at 4</w:t>
      </w:r>
      <w:r w:rsidR="00CA6A02" w:rsidRPr="00A32C68">
        <w:rPr>
          <w:i/>
        </w:rPr>
        <w:t>–</w:t>
      </w:r>
      <w:r w:rsidR="004B7D56" w:rsidRPr="00A32C68">
        <w:rPr>
          <w:i/>
        </w:rPr>
        <w:t>6 months</w:t>
      </w:r>
      <w:r w:rsidR="002F6C36">
        <w:t>.</w:t>
      </w:r>
      <w:r w:rsidR="0099739F">
        <w:t xml:space="preserve"> </w:t>
      </w:r>
      <w:r w:rsidR="004B7D56">
        <w:t xml:space="preserve">Standard 2.9.2 – Foods for Infants, which derives from </w:t>
      </w:r>
      <w:r w:rsidR="00A32C68">
        <w:t>that</w:t>
      </w:r>
      <w:r w:rsidR="004B7D56">
        <w:t xml:space="preserve"> time</w:t>
      </w:r>
      <w:r w:rsidR="004B7D56">
        <w:rPr>
          <w:rStyle w:val="FootnoteReference"/>
          <w:rFonts w:eastAsiaTheme="majorEastAsia"/>
        </w:rPr>
        <w:footnoteReference w:id="2"/>
      </w:r>
      <w:r w:rsidR="00B860B0">
        <w:t xml:space="preserve"> and its Australian predecessors</w:t>
      </w:r>
      <w:r w:rsidR="004B7D56">
        <w:t xml:space="preserve">, prohibited infant food from being labelled with an age younger than 4 months. This allowed labels to </w:t>
      </w:r>
      <w:r w:rsidR="004B7D56" w:rsidRPr="00384ED8">
        <w:t xml:space="preserve">provide information for </w:t>
      </w:r>
      <w:r w:rsidR="004B7D56">
        <w:t xml:space="preserve">carers on the suitability of the food for infants aged from 4 months. </w:t>
      </w:r>
    </w:p>
    <w:p w:rsidR="004B7D56" w:rsidRDefault="004B7D56" w:rsidP="001B6F44"/>
    <w:p w:rsidR="004B7D56" w:rsidRDefault="004B7D56" w:rsidP="001B6F44">
      <w:r w:rsidRPr="00A32FA3">
        <w:t>In 2003, the then</w:t>
      </w:r>
      <w:r w:rsidRPr="00CA6A02">
        <w:t xml:space="preserve"> </w:t>
      </w:r>
      <w:r w:rsidR="00CA6A02" w:rsidRPr="00E56E79">
        <w:rPr>
          <w:rFonts w:cs="Arial"/>
          <w:szCs w:val="18"/>
        </w:rPr>
        <w:t>Australia and New Zealand Food Regulation Ministerial Council</w:t>
      </w:r>
      <w:r w:rsidRPr="00434730">
        <w:rPr>
          <w:vertAlign w:val="superscript"/>
        </w:rPr>
        <w:footnoteReference w:id="3"/>
      </w:r>
      <w:r w:rsidRPr="00A32FA3">
        <w:t xml:space="preserve"> </w:t>
      </w:r>
      <w:r w:rsidR="002F6C36">
        <w:t xml:space="preserve">asked </w:t>
      </w:r>
      <w:r w:rsidRPr="00A32FA3">
        <w:t xml:space="preserve">FSANZ </w:t>
      </w:r>
      <w:r w:rsidR="002F6C36">
        <w:t xml:space="preserve">to </w:t>
      </w:r>
      <w:r>
        <w:t>prepare</w:t>
      </w:r>
      <w:r w:rsidRPr="00A32FA3">
        <w:t xml:space="preserve"> a proposal to undertake a review of Standard 2.9.2, following release of</w:t>
      </w:r>
      <w:r>
        <w:t xml:space="preserve"> the</w:t>
      </w:r>
      <w:r w:rsidRPr="00A32FA3">
        <w:t xml:space="preserve"> </w:t>
      </w:r>
      <w:r w:rsidRPr="0047217E">
        <w:t>2003</w:t>
      </w:r>
      <w:r>
        <w:t xml:space="preserve"> </w:t>
      </w:r>
      <w:r w:rsidRPr="00A32FA3">
        <w:t xml:space="preserve">NHMRC </w:t>
      </w:r>
      <w:r>
        <w:t xml:space="preserve">Dietary Guidelines for Children and Adolescents in Australia </w:t>
      </w:r>
      <w:r w:rsidR="0099739F">
        <w:t>which incorporated the Infant Feeding Guidelines for Health Workers</w:t>
      </w:r>
      <w:r>
        <w:t xml:space="preserve"> </w:t>
      </w:r>
      <w:r w:rsidRPr="0047217E">
        <w:rPr>
          <w:noProof/>
        </w:rPr>
        <w:t>(NHMRC 20</w:t>
      </w:r>
      <w:r w:rsidR="0047217E" w:rsidRPr="0047217E">
        <w:rPr>
          <w:noProof/>
        </w:rPr>
        <w:t>03</w:t>
      </w:r>
      <w:r w:rsidRPr="0047217E">
        <w:rPr>
          <w:noProof/>
        </w:rPr>
        <w:t>)</w:t>
      </w:r>
      <w:r w:rsidR="0099739F" w:rsidRPr="0047217E">
        <w:rPr>
          <w:noProof/>
        </w:rPr>
        <w:t>.</w:t>
      </w:r>
      <w:r w:rsidR="0099739F">
        <w:rPr>
          <w:noProof/>
        </w:rPr>
        <w:t xml:space="preserve"> The</w:t>
      </w:r>
      <w:r w:rsidR="00A32C68">
        <w:rPr>
          <w:noProof/>
        </w:rPr>
        <w:t>se</w:t>
      </w:r>
      <w:r w:rsidR="0099739F">
        <w:rPr>
          <w:noProof/>
        </w:rPr>
        <w:t xml:space="preserve"> infant feeding guidelines </w:t>
      </w:r>
      <w:r w:rsidR="0099739F">
        <w:t>recommended</w:t>
      </w:r>
      <w:r w:rsidRPr="0096235E">
        <w:t xml:space="preserve"> for </w:t>
      </w:r>
      <w:r>
        <w:t xml:space="preserve">the first time that solids be introduced at ‘around 6 months’ of age. </w:t>
      </w:r>
      <w:r w:rsidRPr="00A32FA3">
        <w:t xml:space="preserve">FSANZ was asked to take account of </w:t>
      </w:r>
      <w:r w:rsidR="00E56E79">
        <w:t>possible</w:t>
      </w:r>
      <w:r w:rsidR="001B631D">
        <w:t xml:space="preserve"> </w:t>
      </w:r>
      <w:r w:rsidRPr="00A32FA3">
        <w:t xml:space="preserve">inconsistencies </w:t>
      </w:r>
      <w:r>
        <w:t xml:space="preserve">with the </w:t>
      </w:r>
      <w:r w:rsidR="00D721D9">
        <w:t xml:space="preserve">minimum </w:t>
      </w:r>
      <w:r w:rsidR="0021758D">
        <w:t xml:space="preserve">(youngest) </w:t>
      </w:r>
      <w:r>
        <w:t xml:space="preserve">age on infant food labels </w:t>
      </w:r>
      <w:r w:rsidRPr="00A32FA3">
        <w:t>and their impact</w:t>
      </w:r>
      <w:r>
        <w:t>,</w:t>
      </w:r>
      <w:r w:rsidRPr="00A32FA3">
        <w:t xml:space="preserve"> as part of the review. The Ministers also asked that </w:t>
      </w:r>
      <w:r w:rsidR="00A32C68">
        <w:t xml:space="preserve">corresponding </w:t>
      </w:r>
      <w:r w:rsidR="00943790">
        <w:t xml:space="preserve">New Zealand guidelines </w:t>
      </w:r>
      <w:r w:rsidRPr="00A32FA3">
        <w:t xml:space="preserve">be considered and accommodated. </w:t>
      </w:r>
    </w:p>
    <w:p w:rsidR="000B3AC4" w:rsidRPr="00A32FA3" w:rsidRDefault="000B3AC4" w:rsidP="001B6F44"/>
    <w:p w:rsidR="00CA6A02" w:rsidRDefault="004B7D56" w:rsidP="001B6F44">
      <w:pPr>
        <w:autoSpaceDE w:val="0"/>
        <w:autoSpaceDN w:val="0"/>
        <w:adjustRightInd w:val="0"/>
        <w:rPr>
          <w:rFonts w:cs="Meta Normal LF"/>
          <w:color w:val="000000"/>
          <w:szCs w:val="22"/>
        </w:rPr>
      </w:pPr>
      <w:r>
        <w:t xml:space="preserve">At the time of the 2003 request, the New Zealand </w:t>
      </w:r>
      <w:r w:rsidR="00155307">
        <w:t xml:space="preserve">guidelines for </w:t>
      </w:r>
      <w:r w:rsidR="00720DAD">
        <w:t xml:space="preserve">infant feeding </w:t>
      </w:r>
      <w:r>
        <w:t xml:space="preserve">recommended </w:t>
      </w:r>
      <w:r w:rsidR="002F6C36">
        <w:t>introducing</w:t>
      </w:r>
      <w:r>
        <w:t xml:space="preserve"> solids from 4</w:t>
      </w:r>
      <w:r w:rsidR="00CA6A02">
        <w:t>–</w:t>
      </w:r>
      <w:r>
        <w:t xml:space="preserve">6 months of age. In 2008, </w:t>
      </w:r>
      <w:r w:rsidR="00155307">
        <w:t xml:space="preserve">revised New Zealand </w:t>
      </w:r>
      <w:r w:rsidR="00155307" w:rsidRPr="00825AB7">
        <w:rPr>
          <w:szCs w:val="22"/>
          <w:lang w:bidi="ar-SA"/>
        </w:rPr>
        <w:t>Food and Nutrition Guidelines for Healthy Infants and Toddlers</w:t>
      </w:r>
      <w:r w:rsidR="00A32C68">
        <w:rPr>
          <w:szCs w:val="22"/>
          <w:lang w:bidi="ar-SA"/>
        </w:rPr>
        <w:t xml:space="preserve"> </w:t>
      </w:r>
      <w:r w:rsidR="00155307">
        <w:t xml:space="preserve">(Ministry of Health 2008) </w:t>
      </w:r>
      <w:r>
        <w:t>were re</w:t>
      </w:r>
      <w:r w:rsidR="00155307">
        <w:t xml:space="preserve">leased </w:t>
      </w:r>
      <w:r>
        <w:t xml:space="preserve">and generally </w:t>
      </w:r>
      <w:r w:rsidR="00A31C94">
        <w:t>recommended the</w:t>
      </w:r>
      <w:r>
        <w:t xml:space="preserve"> </w:t>
      </w:r>
      <w:r w:rsidR="00E56E79">
        <w:t xml:space="preserve">introduction of </w:t>
      </w:r>
      <w:r>
        <w:t xml:space="preserve">solids at ‘around 6 months’. </w:t>
      </w:r>
      <w:r w:rsidRPr="00712EAF">
        <w:t xml:space="preserve">As these guidelines </w:t>
      </w:r>
      <w:r w:rsidRPr="0099739F">
        <w:t>were directed to health workers, an</w:t>
      </w:r>
      <w:r w:rsidRPr="00712EAF">
        <w:t xml:space="preserve"> individual infant’s developmental re</w:t>
      </w:r>
      <w:r w:rsidRPr="00E94257">
        <w:t xml:space="preserve">adiness for solid foods </w:t>
      </w:r>
      <w:r>
        <w:t xml:space="preserve">was also recognised </w:t>
      </w:r>
      <w:r w:rsidRPr="00E94257">
        <w:t xml:space="preserve">e.g. </w:t>
      </w:r>
      <w:r w:rsidRPr="000B3AC4">
        <w:rPr>
          <w:rFonts w:cs="Meta Normal LF"/>
          <w:i/>
          <w:color w:val="000000"/>
          <w:szCs w:val="22"/>
        </w:rPr>
        <w:t>the emphasis is on using the developmental stages and skills to guide the age for introducing complementary foods to the individual child</w:t>
      </w:r>
      <w:r w:rsidRPr="00E56E79">
        <w:rPr>
          <w:rFonts w:cs="Meta Normal LF"/>
          <w:color w:val="000000"/>
          <w:szCs w:val="22"/>
        </w:rPr>
        <w:t>,</w:t>
      </w:r>
      <w:r w:rsidRPr="00E94257">
        <w:rPr>
          <w:rFonts w:cs="Meta Normal LF"/>
          <w:color w:val="000000"/>
          <w:szCs w:val="22"/>
        </w:rPr>
        <w:t xml:space="preserve"> and </w:t>
      </w:r>
      <w:r w:rsidRPr="00B860B0">
        <w:rPr>
          <w:rFonts w:cs="Meta Normal LF"/>
          <w:i/>
          <w:color w:val="000000"/>
          <w:szCs w:val="22"/>
        </w:rPr>
        <w:t>while</w:t>
      </w:r>
      <w:r w:rsidRPr="00E94257">
        <w:rPr>
          <w:rFonts w:cs="Meta Normal LF"/>
          <w:color w:val="000000"/>
          <w:szCs w:val="22"/>
        </w:rPr>
        <w:t xml:space="preserve"> </w:t>
      </w:r>
      <w:r w:rsidRPr="000B3AC4">
        <w:rPr>
          <w:rFonts w:cs="Meta Normal LF"/>
          <w:i/>
          <w:color w:val="000000"/>
          <w:szCs w:val="22"/>
        </w:rPr>
        <w:t>the ideal is to wait until the infant is around six months of age, the timing of the developmental stages and skills that signal readiness vary from infant to infant</w:t>
      </w:r>
      <w:r>
        <w:rPr>
          <w:rFonts w:cs="Meta Normal LF"/>
          <w:color w:val="000000"/>
          <w:szCs w:val="22"/>
        </w:rPr>
        <w:t>.</w:t>
      </w:r>
      <w:r w:rsidRPr="00E94257">
        <w:rPr>
          <w:rFonts w:cs="Meta Normal LF"/>
          <w:color w:val="000000"/>
          <w:szCs w:val="22"/>
        </w:rPr>
        <w:t xml:space="preserve"> </w:t>
      </w:r>
    </w:p>
    <w:p w:rsidR="00CA6A02" w:rsidRDefault="00CA6A02" w:rsidP="001B6F44">
      <w:pPr>
        <w:autoSpaceDE w:val="0"/>
        <w:autoSpaceDN w:val="0"/>
        <w:adjustRightInd w:val="0"/>
        <w:rPr>
          <w:rFonts w:cs="Meta Normal LF"/>
          <w:color w:val="000000"/>
          <w:szCs w:val="22"/>
        </w:rPr>
      </w:pPr>
    </w:p>
    <w:p w:rsidR="004B7D56" w:rsidRPr="00720DAD" w:rsidRDefault="005735E4" w:rsidP="001B6F44">
      <w:pPr>
        <w:autoSpaceDE w:val="0"/>
        <w:autoSpaceDN w:val="0"/>
        <w:adjustRightInd w:val="0"/>
      </w:pPr>
      <w:r>
        <w:rPr>
          <w:rFonts w:cs="Arial"/>
          <w:szCs w:val="22"/>
        </w:rPr>
        <w:t>In</w:t>
      </w:r>
      <w:r w:rsidRPr="00720DAD">
        <w:rPr>
          <w:rFonts w:cs="Arial"/>
          <w:szCs w:val="22"/>
        </w:rPr>
        <w:t xml:space="preserve"> </w:t>
      </w:r>
      <w:r w:rsidR="005725CB">
        <w:rPr>
          <w:rFonts w:cs="Arial"/>
          <w:szCs w:val="22"/>
        </w:rPr>
        <w:t>20</w:t>
      </w:r>
      <w:r w:rsidR="001B5C74">
        <w:rPr>
          <w:rFonts w:cs="Arial"/>
          <w:szCs w:val="22"/>
        </w:rPr>
        <w:t>13</w:t>
      </w:r>
      <w:r w:rsidR="00A32C68">
        <w:rPr>
          <w:rFonts w:cs="Arial"/>
          <w:szCs w:val="22"/>
        </w:rPr>
        <w:t>,</w:t>
      </w:r>
      <w:r w:rsidR="005725CB">
        <w:rPr>
          <w:rFonts w:cs="Arial"/>
          <w:szCs w:val="22"/>
        </w:rPr>
        <w:t xml:space="preserve"> NHMRC </w:t>
      </w:r>
      <w:r>
        <w:rPr>
          <w:rFonts w:cs="Arial"/>
          <w:szCs w:val="22"/>
        </w:rPr>
        <w:t xml:space="preserve">released </w:t>
      </w:r>
      <w:r w:rsidR="00AD0AB6">
        <w:rPr>
          <w:rFonts w:cs="Arial"/>
          <w:szCs w:val="22"/>
        </w:rPr>
        <w:t xml:space="preserve">a </w:t>
      </w:r>
      <w:r>
        <w:rPr>
          <w:rFonts w:cs="Arial"/>
          <w:szCs w:val="22"/>
        </w:rPr>
        <w:t xml:space="preserve">new </w:t>
      </w:r>
      <w:r w:rsidR="00AD0AB6">
        <w:rPr>
          <w:rFonts w:cs="Arial"/>
          <w:szCs w:val="22"/>
        </w:rPr>
        <w:t xml:space="preserve">edition of the </w:t>
      </w:r>
      <w:r w:rsidR="00A32C68">
        <w:rPr>
          <w:rFonts w:cs="Arial"/>
          <w:szCs w:val="22"/>
        </w:rPr>
        <w:t>Infant Feeding Guidelines</w:t>
      </w:r>
      <w:r w:rsidR="008B473B">
        <w:rPr>
          <w:rFonts w:cs="Arial"/>
          <w:szCs w:val="22"/>
        </w:rPr>
        <w:t xml:space="preserve"> </w:t>
      </w:r>
      <w:r w:rsidR="0047217E">
        <w:rPr>
          <w:rFonts w:cs="Arial"/>
          <w:szCs w:val="22"/>
        </w:rPr>
        <w:t>(NHMRC 201</w:t>
      </w:r>
      <w:r w:rsidR="008B473B">
        <w:rPr>
          <w:rFonts w:cs="Arial"/>
          <w:szCs w:val="22"/>
        </w:rPr>
        <w:t>2a</w:t>
      </w:r>
      <w:r w:rsidR="0047217E">
        <w:rPr>
          <w:rFonts w:cs="Arial"/>
          <w:szCs w:val="22"/>
        </w:rPr>
        <w:t>)</w:t>
      </w:r>
      <w:r>
        <w:rPr>
          <w:rFonts w:cs="Arial"/>
          <w:szCs w:val="22"/>
        </w:rPr>
        <w:t xml:space="preserve"> where it was</w:t>
      </w:r>
      <w:r w:rsidR="009B57B3">
        <w:rPr>
          <w:rFonts w:cs="Arial"/>
          <w:szCs w:val="22"/>
        </w:rPr>
        <w:t xml:space="preserve"> again </w:t>
      </w:r>
      <w:r w:rsidR="009B57B3">
        <w:t>recommended</w:t>
      </w:r>
      <w:r w:rsidR="009B57B3" w:rsidRPr="0096235E">
        <w:t xml:space="preserve"> </w:t>
      </w:r>
      <w:r w:rsidR="009B57B3">
        <w:t>that solids be introduced at ‘around 6 months’ of age.</w:t>
      </w:r>
      <w:r w:rsidR="009B57B3">
        <w:rPr>
          <w:rFonts w:cs="Arial"/>
          <w:szCs w:val="22"/>
        </w:rPr>
        <w:t xml:space="preserve"> It is</w:t>
      </w:r>
      <w:r w:rsidR="004B7D56" w:rsidRPr="00720DAD">
        <w:rPr>
          <w:rFonts w:cs="Arial"/>
          <w:szCs w:val="22"/>
        </w:rPr>
        <w:t xml:space="preserve"> </w:t>
      </w:r>
      <w:r w:rsidR="004B7D56" w:rsidRPr="008503EE">
        <w:rPr>
          <w:rFonts w:cs="Arial"/>
          <w:szCs w:val="22"/>
        </w:rPr>
        <w:t xml:space="preserve">noted </w:t>
      </w:r>
      <w:r w:rsidR="001B5C74" w:rsidRPr="008503EE">
        <w:rPr>
          <w:rFonts w:cs="Arial"/>
          <w:szCs w:val="22"/>
        </w:rPr>
        <w:t xml:space="preserve">in </w:t>
      </w:r>
      <w:r w:rsidRPr="008503EE">
        <w:rPr>
          <w:rFonts w:cs="Arial"/>
          <w:szCs w:val="22"/>
        </w:rPr>
        <w:t xml:space="preserve">the </w:t>
      </w:r>
      <w:r w:rsidR="001B5C74" w:rsidRPr="008503EE">
        <w:rPr>
          <w:rFonts w:cs="Arial"/>
          <w:szCs w:val="22"/>
        </w:rPr>
        <w:t xml:space="preserve">disclaimer </w:t>
      </w:r>
      <w:r w:rsidR="009B57B3" w:rsidRPr="008503EE">
        <w:rPr>
          <w:rFonts w:cs="Arial"/>
          <w:szCs w:val="22"/>
        </w:rPr>
        <w:t>to the</w:t>
      </w:r>
      <w:r w:rsidR="008B473B">
        <w:rPr>
          <w:rFonts w:cs="Arial"/>
          <w:szCs w:val="22"/>
        </w:rPr>
        <w:t>se</w:t>
      </w:r>
      <w:r w:rsidR="009B57B3">
        <w:rPr>
          <w:rFonts w:cs="Arial"/>
          <w:szCs w:val="22"/>
        </w:rPr>
        <w:t xml:space="preserve"> guidelines</w:t>
      </w:r>
      <w:r w:rsidR="009B57B3" w:rsidRPr="00720DAD">
        <w:rPr>
          <w:rFonts w:cs="Arial"/>
          <w:szCs w:val="22"/>
        </w:rPr>
        <w:t xml:space="preserve"> </w:t>
      </w:r>
      <w:r w:rsidR="004B7D56" w:rsidRPr="00720DAD">
        <w:rPr>
          <w:rFonts w:cs="Arial"/>
          <w:szCs w:val="22"/>
        </w:rPr>
        <w:t>that</w:t>
      </w:r>
      <w:r w:rsidR="00720DAD">
        <w:rPr>
          <w:rFonts w:cs="Arial"/>
          <w:szCs w:val="22"/>
        </w:rPr>
        <w:t xml:space="preserve"> </w:t>
      </w:r>
      <w:r w:rsidR="00106707" w:rsidRPr="0089112E">
        <w:rPr>
          <w:rFonts w:cs="Arial"/>
          <w:i/>
          <w:szCs w:val="22"/>
        </w:rPr>
        <w:t>t</w:t>
      </w:r>
      <w:r w:rsidR="00106707" w:rsidRPr="0089112E">
        <w:rPr>
          <w:rFonts w:eastAsia="UniversLTStd-Light" w:cs="Arial"/>
          <w:i/>
          <w:szCs w:val="22"/>
          <w:lang w:eastAsia="en-GB" w:bidi="ar-SA"/>
        </w:rPr>
        <w:t xml:space="preserve">his </w:t>
      </w:r>
      <w:r w:rsidR="004B7D56" w:rsidRPr="0089112E">
        <w:rPr>
          <w:rFonts w:eastAsia="UniversLTStd-Light" w:cs="Arial"/>
          <w:i/>
          <w:szCs w:val="22"/>
          <w:lang w:eastAsia="en-GB" w:bidi="ar-SA"/>
        </w:rPr>
        <w:t>document is a general guide to appropriate practice, to be followed subject to the clinician’s judgement and patient’s preference in each individual case</w:t>
      </w:r>
      <w:r w:rsidR="00E42BB4" w:rsidRPr="008B473B">
        <w:rPr>
          <w:rFonts w:eastAsia="UniversLTStd-Light" w:cs="Arial"/>
          <w:szCs w:val="22"/>
          <w:lang w:eastAsia="en-NZ"/>
        </w:rPr>
        <w:t>.</w:t>
      </w:r>
      <w:r w:rsidR="008503EE" w:rsidRPr="0089112E">
        <w:rPr>
          <w:rFonts w:eastAsia="UniversLTStd-Light" w:cs="Arial"/>
          <w:i/>
          <w:szCs w:val="22"/>
          <w:lang w:eastAsia="en-GB" w:bidi="ar-SA"/>
        </w:rPr>
        <w:t xml:space="preserve"> </w:t>
      </w:r>
      <w:r w:rsidR="008503EE" w:rsidRPr="0089112E">
        <w:rPr>
          <w:rFonts w:eastAsia="UniversLTStd-Light" w:cs="Arial"/>
          <w:szCs w:val="22"/>
          <w:lang w:eastAsia="en-GB" w:bidi="ar-SA"/>
        </w:rPr>
        <w:t xml:space="preserve">The </w:t>
      </w:r>
      <w:r w:rsidR="008B473B">
        <w:rPr>
          <w:rFonts w:eastAsia="UniversLTStd-Light" w:cs="Arial"/>
          <w:szCs w:val="22"/>
          <w:lang w:eastAsia="en-GB" w:bidi="ar-SA"/>
        </w:rPr>
        <w:t xml:space="preserve">2013 Australian </w:t>
      </w:r>
      <w:r w:rsidR="00D7317D" w:rsidRPr="0089112E">
        <w:rPr>
          <w:rFonts w:eastAsia="UniversLTStd-Light" w:cs="Arial"/>
          <w:szCs w:val="22"/>
          <w:lang w:eastAsia="en-GB" w:bidi="ar-SA"/>
        </w:rPr>
        <w:t>D</w:t>
      </w:r>
      <w:r w:rsidR="006D797E" w:rsidRPr="0089112E">
        <w:rPr>
          <w:rFonts w:eastAsia="UniversLTStd-Light" w:cs="Arial"/>
          <w:szCs w:val="22"/>
          <w:lang w:eastAsia="en-GB" w:bidi="ar-SA"/>
        </w:rPr>
        <w:t xml:space="preserve">ietary </w:t>
      </w:r>
      <w:r w:rsidR="00D7317D" w:rsidRPr="0089112E">
        <w:rPr>
          <w:rFonts w:eastAsia="UniversLTStd-Light" w:cs="Arial"/>
          <w:szCs w:val="22"/>
          <w:lang w:eastAsia="en-GB" w:bidi="ar-SA"/>
        </w:rPr>
        <w:t>G</w:t>
      </w:r>
      <w:r w:rsidR="008503EE" w:rsidRPr="0089112E">
        <w:rPr>
          <w:rFonts w:eastAsia="UniversLTStd-Light" w:cs="Arial"/>
          <w:szCs w:val="22"/>
          <w:lang w:eastAsia="en-GB" w:bidi="ar-SA"/>
        </w:rPr>
        <w:t xml:space="preserve">uidelines </w:t>
      </w:r>
      <w:r w:rsidR="008B473B">
        <w:rPr>
          <w:rFonts w:eastAsia="UniversLTStd-Light" w:cs="Arial"/>
          <w:szCs w:val="22"/>
          <w:lang w:eastAsia="en-NZ"/>
        </w:rPr>
        <w:t xml:space="preserve">(NHMRC 2013) </w:t>
      </w:r>
      <w:r w:rsidR="008503EE" w:rsidRPr="0089112E">
        <w:rPr>
          <w:rFonts w:eastAsia="UniversLTStd-Light" w:cs="Arial"/>
          <w:szCs w:val="22"/>
          <w:lang w:eastAsia="en-GB" w:bidi="ar-SA"/>
        </w:rPr>
        <w:t xml:space="preserve">also </w:t>
      </w:r>
      <w:r w:rsidR="005725CB" w:rsidRPr="0089112E">
        <w:rPr>
          <w:rFonts w:eastAsia="UniversLTStd-Light" w:cs="Arial"/>
          <w:szCs w:val="22"/>
          <w:lang w:eastAsia="en-GB" w:bidi="ar-SA"/>
        </w:rPr>
        <w:t xml:space="preserve">note </w:t>
      </w:r>
      <w:r w:rsidR="000B3AC4" w:rsidRPr="0089112E">
        <w:rPr>
          <w:rFonts w:eastAsia="UniversLTStd-Light" w:cs="Arial"/>
          <w:szCs w:val="22"/>
          <w:lang w:eastAsia="en-GB" w:bidi="ar-SA"/>
        </w:rPr>
        <w:t>that</w:t>
      </w:r>
      <w:r w:rsidR="000B3AC4" w:rsidRPr="0089112E">
        <w:rPr>
          <w:rFonts w:eastAsia="UniversLTStd-Light" w:cs="Arial"/>
          <w:i/>
          <w:szCs w:val="22"/>
          <w:lang w:eastAsia="en-GB" w:bidi="ar-SA"/>
        </w:rPr>
        <w:t xml:space="preserve"> </w:t>
      </w:r>
      <w:r w:rsidR="00106707" w:rsidRPr="0089112E">
        <w:rPr>
          <w:rFonts w:eastAsia="UniversLTStd-Light" w:cs="Arial"/>
          <w:i/>
          <w:szCs w:val="22"/>
          <w:lang w:eastAsia="en-NZ"/>
        </w:rPr>
        <w:t xml:space="preserve">it </w:t>
      </w:r>
      <w:r w:rsidR="004B7D56" w:rsidRPr="0089112E">
        <w:rPr>
          <w:rFonts w:eastAsia="UniversLTStd-Light" w:cs="Arial"/>
          <w:i/>
          <w:szCs w:val="22"/>
          <w:lang w:eastAsia="en-NZ"/>
        </w:rPr>
        <w:t>is important, however, that health professionals manage all infants on an individual basis, no matter how they are fed, so that any faltering growth or other adverse outcomes do not go unnoticed</w:t>
      </w:r>
      <w:r w:rsidR="008B473B">
        <w:rPr>
          <w:rFonts w:eastAsia="UniversLTStd-Light" w:cs="Arial"/>
          <w:szCs w:val="22"/>
          <w:lang w:eastAsia="en-NZ"/>
        </w:rPr>
        <w:t>.</w:t>
      </w:r>
      <w:r w:rsidR="008501D1">
        <w:rPr>
          <w:rFonts w:eastAsia="UniversLTStd-Light" w:cs="Arial"/>
          <w:szCs w:val="22"/>
          <w:lang w:eastAsia="en-NZ"/>
        </w:rPr>
        <w:t xml:space="preserve"> </w:t>
      </w:r>
    </w:p>
    <w:p w:rsidR="004B7D56" w:rsidRPr="00290898" w:rsidRDefault="004B7D56" w:rsidP="00CA6A02">
      <w:pPr>
        <w:pStyle w:val="Heading2"/>
      </w:pPr>
      <w:bookmarkStart w:id="11" w:name="_Toc395777836"/>
      <w:bookmarkStart w:id="12" w:name="_Toc400022168"/>
      <w:r>
        <w:t>1.1</w:t>
      </w:r>
      <w:r>
        <w:tab/>
      </w:r>
      <w:r w:rsidRPr="00290898">
        <w:t>History of the Proposal</w:t>
      </w:r>
      <w:bookmarkEnd w:id="11"/>
      <w:bookmarkEnd w:id="12"/>
      <w:r w:rsidRPr="00290898">
        <w:t xml:space="preserve"> </w:t>
      </w:r>
    </w:p>
    <w:p w:rsidR="004B7D56" w:rsidRDefault="004B7D56" w:rsidP="00E56E79">
      <w:pPr>
        <w:ind w:right="-144"/>
      </w:pPr>
      <w:r w:rsidRPr="00DA5BA4">
        <w:t xml:space="preserve">The Proposal </w:t>
      </w:r>
      <w:r>
        <w:t xml:space="preserve">was prepared in 2003 and a draft assessment released for public consultation in 2004. FSANZ then deferred </w:t>
      </w:r>
      <w:r w:rsidR="00CA6A02">
        <w:t xml:space="preserve">finalising the assessment of </w:t>
      </w:r>
      <w:r>
        <w:t xml:space="preserve">the Proposal </w:t>
      </w:r>
      <w:r w:rsidR="00720DAD" w:rsidRPr="00E56E79">
        <w:t>due to</w:t>
      </w:r>
      <w:r w:rsidR="0093072A">
        <w:t xml:space="preserve"> competing </w:t>
      </w:r>
      <w:r w:rsidR="00720DAD" w:rsidRPr="00E56E79">
        <w:t>priorities</w:t>
      </w:r>
      <w:r w:rsidR="00720DAD">
        <w:t xml:space="preserve"> </w:t>
      </w:r>
      <w:r w:rsidR="002F6C36">
        <w:t>until 2007</w:t>
      </w:r>
      <w:r w:rsidR="001B631D" w:rsidRPr="00E56E79">
        <w:t xml:space="preserve">, </w:t>
      </w:r>
      <w:r w:rsidR="008B473B">
        <w:t xml:space="preserve">then </w:t>
      </w:r>
      <w:r w:rsidRPr="00E56E79">
        <w:t>c</w:t>
      </w:r>
      <w:r>
        <w:t xml:space="preserve">onsulted on the Proposal in 2007 and 2008, deferred again and </w:t>
      </w:r>
      <w:r w:rsidR="009B57B3">
        <w:t xml:space="preserve">next </w:t>
      </w:r>
      <w:r>
        <w:t xml:space="preserve">consulted in 2013. The reason for the Proposal’s deferral in 2008 </w:t>
      </w:r>
      <w:r w:rsidR="00720DAD">
        <w:t>was</w:t>
      </w:r>
      <w:r>
        <w:t xml:space="preserve"> to await the</w:t>
      </w:r>
      <w:r w:rsidRPr="00DA5BA4">
        <w:t xml:space="preserve"> </w:t>
      </w:r>
      <w:r>
        <w:t xml:space="preserve">outcome of the </w:t>
      </w:r>
      <w:r w:rsidRPr="00DA5BA4">
        <w:t>2008</w:t>
      </w:r>
      <w:r w:rsidR="00CA6A02">
        <w:t>–</w:t>
      </w:r>
      <w:r w:rsidRPr="00DA5BA4">
        <w:t>1</w:t>
      </w:r>
      <w:r w:rsidR="008B473B">
        <w:t>2</w:t>
      </w:r>
      <w:r w:rsidRPr="00DA5BA4">
        <w:t xml:space="preserve"> review of the NHMRC</w:t>
      </w:r>
      <w:r w:rsidR="006D797E">
        <w:t xml:space="preserve"> infant feeding g</w:t>
      </w:r>
      <w:r w:rsidRPr="00DA5BA4">
        <w:t>uidelines</w:t>
      </w:r>
      <w:r>
        <w:t xml:space="preserve"> which considered emerging evidence in relation to allergy and reaffirmed the previous general recommendation to introduce solids at </w:t>
      </w:r>
      <w:r w:rsidRPr="00DA5BA4">
        <w:t>‘around 6 months’</w:t>
      </w:r>
      <w:r>
        <w:t>.</w:t>
      </w:r>
      <w:r w:rsidRPr="00DA5BA4">
        <w:t xml:space="preserve"> </w:t>
      </w:r>
      <w:r>
        <w:t>The Proposal re-commenced in 2013.</w:t>
      </w:r>
    </w:p>
    <w:p w:rsidR="004B7D56" w:rsidRPr="00826793" w:rsidRDefault="004B7D56" w:rsidP="001B6F44">
      <w:pPr>
        <w:rPr>
          <w:rFonts w:cs="Arial"/>
          <w:szCs w:val="22"/>
        </w:rPr>
      </w:pPr>
    </w:p>
    <w:p w:rsidR="00055B3D" w:rsidRDefault="001B6A1B" w:rsidP="008B473B">
      <w:pPr>
        <w:rPr>
          <w:rFonts w:cs="Arial"/>
        </w:rPr>
      </w:pPr>
      <w:r>
        <w:t>Issues</w:t>
      </w:r>
      <w:r w:rsidR="004B7D56" w:rsidRPr="00C31263">
        <w:t xml:space="preserve"> considered over the life of the Proposal includ</w:t>
      </w:r>
      <w:r>
        <w:t>ed</w:t>
      </w:r>
      <w:r w:rsidR="004B7D56" w:rsidRPr="00C31263">
        <w:rPr>
          <w:rFonts w:cs="Arial"/>
        </w:rPr>
        <w:t xml:space="preserve">: </w:t>
      </w:r>
      <w:r w:rsidR="00055B3D">
        <w:rPr>
          <w:rFonts w:cs="Arial"/>
        </w:rPr>
        <w:br w:type="page"/>
      </w:r>
    </w:p>
    <w:p w:rsidR="004B7D56" w:rsidRPr="00CA6A02" w:rsidRDefault="004B7D56" w:rsidP="00230316">
      <w:pPr>
        <w:pStyle w:val="FSBullet10"/>
      </w:pPr>
      <w:r w:rsidRPr="00C31263">
        <w:lastRenderedPageBreak/>
        <w:t>th</w:t>
      </w:r>
      <w:r w:rsidRPr="00CA6A02">
        <w:t xml:space="preserve">e importance of the timing of the introduction of solid foods to an individual infant </w:t>
      </w:r>
    </w:p>
    <w:p w:rsidR="004B7D56" w:rsidRPr="00CA6A02" w:rsidRDefault="004B7D56" w:rsidP="00230316">
      <w:pPr>
        <w:pStyle w:val="FSBullet10"/>
      </w:pPr>
      <w:r w:rsidRPr="00CA6A02">
        <w:t xml:space="preserve">ongoing evidence relevant to the introduction of solid foods </w:t>
      </w:r>
    </w:p>
    <w:p w:rsidR="004B7D56" w:rsidRPr="00CA6A02" w:rsidRDefault="004B7D56" w:rsidP="00230316">
      <w:pPr>
        <w:pStyle w:val="FSBullet10"/>
      </w:pPr>
      <w:r w:rsidRPr="00CA6A02">
        <w:t>consistency of labelling with Australian and New Zealand infant feeding guidelines</w:t>
      </w:r>
    </w:p>
    <w:p w:rsidR="004B7D56" w:rsidRPr="00CA6A02" w:rsidRDefault="004B7D56" w:rsidP="00230316">
      <w:pPr>
        <w:pStyle w:val="FSBullet10"/>
      </w:pPr>
      <w:r w:rsidRPr="00CA6A02">
        <w:t xml:space="preserve">parents’/carers’ use of label information </w:t>
      </w:r>
    </w:p>
    <w:p w:rsidR="004B7D56" w:rsidRPr="00CA6A02" w:rsidRDefault="004B7D56" w:rsidP="00230316">
      <w:pPr>
        <w:pStyle w:val="FSBullet10"/>
      </w:pPr>
      <w:r w:rsidRPr="00CA6A02">
        <w:t xml:space="preserve">managing risks associated with early introduction of solids </w:t>
      </w:r>
    </w:p>
    <w:p w:rsidR="004B7D56" w:rsidRPr="00CA6A02" w:rsidRDefault="004B7D56" w:rsidP="00230316">
      <w:pPr>
        <w:pStyle w:val="FSBullet10"/>
      </w:pPr>
      <w:r w:rsidRPr="00CA6A02">
        <w:t xml:space="preserve">the </w:t>
      </w:r>
      <w:r w:rsidR="001B6A1B" w:rsidRPr="00CA6A02">
        <w:t xml:space="preserve">effect </w:t>
      </w:r>
      <w:r w:rsidRPr="00CA6A02">
        <w:t>of current regulations and any change on affected parties</w:t>
      </w:r>
    </w:p>
    <w:p w:rsidR="004B7D56" w:rsidRPr="00CA6A02" w:rsidRDefault="004B7D56" w:rsidP="00230316">
      <w:pPr>
        <w:pStyle w:val="FSBullet10"/>
      </w:pPr>
      <w:r w:rsidRPr="00CA6A02">
        <w:t xml:space="preserve">the benefits and costs of amending the current labelling requirements </w:t>
      </w:r>
    </w:p>
    <w:p w:rsidR="004B7D56" w:rsidRPr="00C31263" w:rsidRDefault="004B7D56" w:rsidP="00230316">
      <w:pPr>
        <w:pStyle w:val="FSBullet10"/>
        <w:rPr>
          <w:szCs w:val="22"/>
        </w:rPr>
      </w:pPr>
      <w:r w:rsidRPr="00CA6A02">
        <w:t>the cu</w:t>
      </w:r>
      <w:r w:rsidRPr="00C31263">
        <w:t>rrent regulatory environment</w:t>
      </w:r>
      <w:r w:rsidRPr="00C31263">
        <w:rPr>
          <w:szCs w:val="22"/>
        </w:rPr>
        <w:t>.</w:t>
      </w:r>
    </w:p>
    <w:p w:rsidR="004B7D56" w:rsidRDefault="004B7D56" w:rsidP="001B6F44"/>
    <w:p w:rsidR="004B7D56" w:rsidRDefault="00B860B0" w:rsidP="00055B3D">
      <w:pPr>
        <w:ind w:right="-569"/>
      </w:pPr>
      <w:r>
        <w:t xml:space="preserve">As shown in Table 1, </w:t>
      </w:r>
      <w:r w:rsidR="004B7D56">
        <w:t xml:space="preserve">FSANZ </w:t>
      </w:r>
      <w:r w:rsidR="00684E2B">
        <w:t xml:space="preserve">had previously </w:t>
      </w:r>
      <w:r w:rsidR="004B7D56" w:rsidRPr="00DA5BA4">
        <w:t xml:space="preserve">proposed to amend Standard </w:t>
      </w:r>
      <w:r w:rsidR="004B7D56">
        <w:t xml:space="preserve">2.9.2 </w:t>
      </w:r>
      <w:r w:rsidR="004B7D56" w:rsidRPr="00DA5BA4">
        <w:t xml:space="preserve">to align labelling requirements with </w:t>
      </w:r>
      <w:r w:rsidR="004B7D56">
        <w:t xml:space="preserve">the general recommendations in </w:t>
      </w:r>
      <w:r w:rsidR="004B7D56" w:rsidRPr="00DA5BA4">
        <w:t>the</w:t>
      </w:r>
      <w:r w:rsidR="004B7D56">
        <w:t xml:space="preserve"> Australian </w:t>
      </w:r>
      <w:r w:rsidR="00BD5FDC">
        <w:t xml:space="preserve">infant feeding </w:t>
      </w:r>
      <w:r w:rsidR="004B7D56">
        <w:t>guidelines and in the revised New Zealand</w:t>
      </w:r>
      <w:r w:rsidR="004B7D56" w:rsidRPr="00DA5BA4">
        <w:t xml:space="preserve"> guidelines. In response to </w:t>
      </w:r>
      <w:r w:rsidR="004B7D56">
        <w:t xml:space="preserve">public </w:t>
      </w:r>
      <w:r w:rsidR="004B7D56" w:rsidRPr="00DA5BA4">
        <w:t xml:space="preserve">consultation </w:t>
      </w:r>
      <w:r w:rsidR="004B7D56">
        <w:t xml:space="preserve">in </w:t>
      </w:r>
      <w:r w:rsidR="004B7D56" w:rsidRPr="00DA5BA4">
        <w:t>2013</w:t>
      </w:r>
      <w:r w:rsidR="004B7D56">
        <w:t xml:space="preserve"> </w:t>
      </w:r>
      <w:r w:rsidR="004B7D56" w:rsidRPr="00E86586">
        <w:t>and targeted consultation in 2014,</w:t>
      </w:r>
      <w:r w:rsidR="004B7D56" w:rsidRPr="00B43FBB">
        <w:t xml:space="preserve"> stakeholder views </w:t>
      </w:r>
      <w:r w:rsidR="004B7D56">
        <w:t>were</w:t>
      </w:r>
      <w:r w:rsidR="004B7D56" w:rsidRPr="00B43FBB">
        <w:t xml:space="preserve"> </w:t>
      </w:r>
      <w:r w:rsidR="004B7D56">
        <w:t xml:space="preserve">more </w:t>
      </w:r>
      <w:r w:rsidR="004B7D56" w:rsidRPr="00B43FBB">
        <w:t xml:space="preserve">strongly divided </w:t>
      </w:r>
      <w:r w:rsidR="004B7D56">
        <w:t xml:space="preserve">than previously </w:t>
      </w:r>
      <w:r w:rsidR="004B7D56" w:rsidRPr="00B43FBB">
        <w:t xml:space="preserve">on whether the minimum age labelling requirements </w:t>
      </w:r>
      <w:r w:rsidR="00BD5FDC">
        <w:t xml:space="preserve">for foods for infants </w:t>
      </w:r>
      <w:r w:rsidR="004B7D56" w:rsidRPr="00B43FBB">
        <w:t xml:space="preserve">should be amended. </w:t>
      </w:r>
    </w:p>
    <w:p w:rsidR="004B7D56" w:rsidRDefault="004B7D56" w:rsidP="001B6F44"/>
    <w:p w:rsidR="004B7D56" w:rsidRPr="00B43FBB" w:rsidRDefault="004B7D56" w:rsidP="001B6F44">
      <w:r>
        <w:t xml:space="preserve">In 2014, due to the diversity of views and provision of more detailed information in submissions and subsequent targeted consultation, </w:t>
      </w:r>
      <w:r w:rsidRPr="00B43FBB">
        <w:t xml:space="preserve">FSANZ </w:t>
      </w:r>
      <w:r>
        <w:t xml:space="preserve">reconsidered the basis for the problem and </w:t>
      </w:r>
      <w:r w:rsidRPr="00B43FBB">
        <w:t>how best to approach the labelling of infant food</w:t>
      </w:r>
      <w:r>
        <w:t>. We reviewed and updated the evidence base and further consulted with relevant parties, including the NHMRC and the Office of Best Practice Regulation (OBPR).</w:t>
      </w:r>
    </w:p>
    <w:p w:rsidR="004B7D56" w:rsidRPr="005C0BD0" w:rsidRDefault="004B7D56" w:rsidP="001B6F44">
      <w:pPr>
        <w:pStyle w:val="Heading2"/>
      </w:pPr>
      <w:bookmarkStart w:id="13" w:name="_Toc395777837"/>
      <w:bookmarkStart w:id="14" w:name="_Toc400022169"/>
      <w:r>
        <w:t>1.2</w:t>
      </w:r>
      <w:r>
        <w:tab/>
      </w:r>
      <w:r w:rsidRPr="005C0BD0">
        <w:t>The current Standard</w:t>
      </w:r>
      <w:bookmarkEnd w:id="13"/>
      <w:bookmarkEnd w:id="14"/>
    </w:p>
    <w:p w:rsidR="004B7D56" w:rsidRDefault="004B7D56" w:rsidP="001B6F44">
      <w:pPr>
        <w:rPr>
          <w:rFonts w:cs="Arial"/>
          <w:lang w:val="en-US"/>
        </w:rPr>
      </w:pPr>
      <w:r w:rsidRPr="00F657B4">
        <w:rPr>
          <w:rFonts w:cs="Arial"/>
          <w:lang w:val="en-US"/>
        </w:rPr>
        <w:t>Standard 2.9.2</w:t>
      </w:r>
      <w:r>
        <w:rPr>
          <w:rFonts w:cs="Arial"/>
          <w:lang w:val="en-US"/>
        </w:rPr>
        <w:t xml:space="preserve"> – Foods for Infants </w:t>
      </w:r>
      <w:r w:rsidRPr="00F657B4">
        <w:rPr>
          <w:rFonts w:cs="Arial"/>
          <w:lang w:val="en-US"/>
        </w:rPr>
        <w:t xml:space="preserve">provides </w:t>
      </w:r>
      <w:r>
        <w:rPr>
          <w:rFonts w:cs="Arial"/>
          <w:lang w:val="en-US"/>
        </w:rPr>
        <w:t xml:space="preserve">for </w:t>
      </w:r>
      <w:r w:rsidRPr="00F657B4">
        <w:rPr>
          <w:rFonts w:cs="Arial"/>
          <w:lang w:val="en-US"/>
        </w:rPr>
        <w:t>the compositional and</w:t>
      </w:r>
      <w:r w:rsidRPr="00F657B4">
        <w:rPr>
          <w:rFonts w:cs="Arial"/>
        </w:rPr>
        <w:t xml:space="preserve"> labelling</w:t>
      </w:r>
      <w:r w:rsidRPr="00F657B4">
        <w:rPr>
          <w:rFonts w:cs="Arial"/>
          <w:lang w:val="en-US"/>
        </w:rPr>
        <w:t xml:space="preserve"> requirements of food</w:t>
      </w:r>
      <w:r>
        <w:rPr>
          <w:rFonts w:cs="Arial"/>
          <w:lang w:val="en-US"/>
        </w:rPr>
        <w:t>s</w:t>
      </w:r>
      <w:r w:rsidRPr="00F657B4">
        <w:rPr>
          <w:rFonts w:cs="Arial"/>
          <w:lang w:val="en-US"/>
        </w:rPr>
        <w:t xml:space="preserve"> intended or represented for use as food</w:t>
      </w:r>
      <w:r>
        <w:rPr>
          <w:rFonts w:cs="Arial"/>
          <w:lang w:val="en-US"/>
        </w:rPr>
        <w:t>s</w:t>
      </w:r>
      <w:r w:rsidRPr="00F657B4">
        <w:rPr>
          <w:rFonts w:cs="Arial"/>
          <w:lang w:val="en-US"/>
        </w:rPr>
        <w:t xml:space="preserve"> for infants, excluding infant formula products regulated by Standard 2.9.1 – Infant Formula Products. An infant is defined in the Code as a person up to the age of 12 months. </w:t>
      </w:r>
    </w:p>
    <w:p w:rsidR="004B7D56" w:rsidRDefault="004B7D56" w:rsidP="001B6F44">
      <w:pPr>
        <w:rPr>
          <w:rFonts w:cs="Arial"/>
          <w:lang w:val="en-US"/>
        </w:rPr>
      </w:pPr>
    </w:p>
    <w:p w:rsidR="002704B2" w:rsidRDefault="004B7D56" w:rsidP="001B6F44">
      <w:pPr>
        <w:rPr>
          <w:rFonts w:cs="Arial"/>
          <w:lang w:val="en-US"/>
        </w:rPr>
      </w:pPr>
      <w:r w:rsidRPr="00F657B4">
        <w:rPr>
          <w:rFonts w:cs="Arial"/>
          <w:lang w:val="en-US"/>
        </w:rPr>
        <w:t>In relation to minimum age</w:t>
      </w:r>
      <w:r w:rsidRPr="00F657B4">
        <w:rPr>
          <w:rFonts w:cs="Arial"/>
        </w:rPr>
        <w:t xml:space="preserve"> labelling</w:t>
      </w:r>
      <w:r w:rsidRPr="00F657B4">
        <w:rPr>
          <w:rFonts w:cs="Arial"/>
          <w:lang w:val="en-US"/>
        </w:rPr>
        <w:t xml:space="preserve">, </w:t>
      </w:r>
      <w:r w:rsidR="00C36E19">
        <w:rPr>
          <w:rFonts w:cs="Arial"/>
          <w:lang w:val="en-US"/>
        </w:rPr>
        <w:t>s</w:t>
      </w:r>
      <w:r w:rsidR="002704B2" w:rsidRPr="00C36E19">
        <w:rPr>
          <w:rFonts w:cs="Arial"/>
          <w:lang w:val="en-US"/>
        </w:rPr>
        <w:t>ubclause 5(2)</w:t>
      </w:r>
      <w:r w:rsidR="00C36E19" w:rsidRPr="00C36E19">
        <w:rPr>
          <w:rFonts w:cs="Arial"/>
          <w:lang w:val="en-US"/>
        </w:rPr>
        <w:t xml:space="preserve"> requires</w:t>
      </w:r>
      <w:r w:rsidR="00C36E19">
        <w:rPr>
          <w:rFonts w:cs="Arial"/>
          <w:lang w:val="en-US"/>
        </w:rPr>
        <w:t xml:space="preserve"> that: </w:t>
      </w:r>
    </w:p>
    <w:p w:rsidR="00C36E19" w:rsidRDefault="00C36E19" w:rsidP="001B6F44">
      <w:pPr>
        <w:rPr>
          <w:rFonts w:cs="Arial"/>
          <w:lang w:val="en-US"/>
        </w:rPr>
      </w:pPr>
    </w:p>
    <w:p w:rsidR="00C36E19" w:rsidRPr="00055B3D" w:rsidRDefault="00C36E19" w:rsidP="00055B3D">
      <w:pPr>
        <w:pStyle w:val="Subclause"/>
        <w:tabs>
          <w:tab w:val="clear" w:pos="851"/>
        </w:tabs>
        <w:ind w:left="851" w:right="-286" w:hanging="862"/>
        <w:rPr>
          <w:i/>
          <w:sz w:val="22"/>
          <w:szCs w:val="22"/>
        </w:rPr>
      </w:pPr>
      <w:r w:rsidRPr="00055B3D">
        <w:rPr>
          <w:i/>
          <w:sz w:val="22"/>
          <w:szCs w:val="22"/>
        </w:rPr>
        <w:t>(2)</w:t>
      </w:r>
      <w:r w:rsidRPr="00055B3D">
        <w:rPr>
          <w:i/>
          <w:sz w:val="22"/>
          <w:szCs w:val="22"/>
        </w:rPr>
        <w:tab/>
        <w:t>The label on a package of food for infants must not include a recommendation, whether express or implied, that the food is suitable for infants less than four months old.</w:t>
      </w:r>
    </w:p>
    <w:p w:rsidR="002704B2" w:rsidRDefault="002704B2" w:rsidP="001B6F44">
      <w:pPr>
        <w:rPr>
          <w:rFonts w:cs="Arial"/>
          <w:lang w:val="en-US"/>
        </w:rPr>
      </w:pPr>
    </w:p>
    <w:p w:rsidR="004B7D56" w:rsidRDefault="00C36E19" w:rsidP="001B6F44">
      <w:pPr>
        <w:rPr>
          <w:rFonts w:cs="Arial"/>
          <w:lang w:val="en-US"/>
        </w:rPr>
      </w:pPr>
      <w:r>
        <w:rPr>
          <w:rFonts w:cs="Arial"/>
          <w:lang w:val="en-US"/>
        </w:rPr>
        <w:t xml:space="preserve">Also, </w:t>
      </w:r>
      <w:r w:rsidR="002704B2">
        <w:rPr>
          <w:rFonts w:cs="Arial"/>
          <w:lang w:val="en-US"/>
        </w:rPr>
        <w:t xml:space="preserve">paragraphs </w:t>
      </w:r>
      <w:r w:rsidR="004B7D56" w:rsidRPr="00F657B4">
        <w:rPr>
          <w:rFonts w:cs="Arial"/>
          <w:lang w:val="en-US"/>
        </w:rPr>
        <w:t>5(3)</w:t>
      </w:r>
      <w:r w:rsidR="004B7D56">
        <w:rPr>
          <w:rFonts w:cs="Arial"/>
          <w:lang w:val="en-US"/>
        </w:rPr>
        <w:t>(a)</w:t>
      </w:r>
      <w:r w:rsidR="00784537">
        <w:rPr>
          <w:rFonts w:cs="Arial"/>
        </w:rPr>
        <w:t>–</w:t>
      </w:r>
      <w:r w:rsidR="004B7D56">
        <w:rPr>
          <w:rFonts w:cs="Arial"/>
          <w:lang w:val="en-US"/>
        </w:rPr>
        <w:t>(c)</w:t>
      </w:r>
      <w:r w:rsidR="004B7D56" w:rsidRPr="00F657B4">
        <w:rPr>
          <w:rFonts w:cs="Arial"/>
          <w:lang w:val="en-US"/>
        </w:rPr>
        <w:t xml:space="preserve"> of Standard 2.9.2 require the label </w:t>
      </w:r>
      <w:r w:rsidR="004B7D56">
        <w:rPr>
          <w:rFonts w:cs="Arial"/>
          <w:lang w:val="en-US"/>
        </w:rPr>
        <w:t xml:space="preserve">on a package of a food for infants </w:t>
      </w:r>
      <w:r w:rsidR="004B7D56" w:rsidRPr="00F657B4">
        <w:rPr>
          <w:rFonts w:cs="Arial"/>
          <w:lang w:val="en-US"/>
        </w:rPr>
        <w:t xml:space="preserve">to </w:t>
      </w:r>
      <w:r w:rsidR="004B7D56">
        <w:rPr>
          <w:rFonts w:cs="Arial"/>
          <w:lang w:val="en-US"/>
        </w:rPr>
        <w:t>include</w:t>
      </w:r>
      <w:r w:rsidR="00844148">
        <w:rPr>
          <w:rFonts w:cs="Arial"/>
          <w:lang w:val="en-US"/>
        </w:rPr>
        <w:t xml:space="preserve"> –</w:t>
      </w:r>
    </w:p>
    <w:p w:rsidR="004B7D56" w:rsidRDefault="004B7D56" w:rsidP="001B6F44"/>
    <w:p w:rsidR="004B7D56" w:rsidRPr="00055B3D" w:rsidRDefault="004B7D56" w:rsidP="001B6F44">
      <w:pPr>
        <w:pStyle w:val="Paragraph"/>
        <w:rPr>
          <w:i/>
          <w:sz w:val="22"/>
        </w:rPr>
      </w:pPr>
      <w:r w:rsidRPr="00055B3D">
        <w:rPr>
          <w:i/>
          <w:sz w:val="22"/>
        </w:rPr>
        <w:t>(a)</w:t>
      </w:r>
      <w:r w:rsidRPr="00055B3D">
        <w:rPr>
          <w:i/>
          <w:sz w:val="22"/>
        </w:rPr>
        <w:tab/>
        <w:t>a statement indicating the consistency of the food; and</w:t>
      </w:r>
    </w:p>
    <w:p w:rsidR="004B7D56" w:rsidRPr="00055B3D" w:rsidRDefault="004B7D56" w:rsidP="001B6F44">
      <w:pPr>
        <w:pStyle w:val="Paragraph"/>
        <w:rPr>
          <w:i/>
          <w:sz w:val="22"/>
        </w:rPr>
      </w:pPr>
      <w:r w:rsidRPr="00055B3D">
        <w:rPr>
          <w:i/>
          <w:sz w:val="22"/>
        </w:rPr>
        <w:t>(b)</w:t>
      </w:r>
      <w:r w:rsidRPr="00055B3D">
        <w:rPr>
          <w:i/>
          <w:sz w:val="22"/>
        </w:rPr>
        <w:tab/>
        <w:t>a statement indicating the minimum age, expressed in numbers, of the infants for whom the food is recommended; and</w:t>
      </w:r>
    </w:p>
    <w:p w:rsidR="004B7D56" w:rsidRPr="00055B3D" w:rsidRDefault="004B7D56" w:rsidP="001B6F44">
      <w:pPr>
        <w:pStyle w:val="Paragraph"/>
        <w:rPr>
          <w:i/>
          <w:sz w:val="22"/>
        </w:rPr>
      </w:pPr>
      <w:r w:rsidRPr="00055B3D">
        <w:rPr>
          <w:i/>
          <w:sz w:val="22"/>
        </w:rPr>
        <w:t>(c)</w:t>
      </w:r>
      <w:r w:rsidRPr="00055B3D">
        <w:rPr>
          <w:i/>
          <w:sz w:val="22"/>
        </w:rPr>
        <w:tab/>
        <w:t>where the food is recommended for infants between the ages of 4</w:t>
      </w:r>
      <w:r w:rsidR="00FC05AA" w:rsidRPr="00055B3D">
        <w:rPr>
          <w:i/>
          <w:sz w:val="22"/>
        </w:rPr>
        <w:t>–</w:t>
      </w:r>
      <w:r w:rsidRPr="00055B3D">
        <w:rPr>
          <w:i/>
          <w:sz w:val="22"/>
        </w:rPr>
        <w:t>6</w:t>
      </w:r>
      <w:r w:rsidRPr="00055B3D">
        <w:rPr>
          <w:rStyle w:val="FootnoteReference"/>
          <w:rFonts w:eastAsiaTheme="majorEastAsia"/>
          <w:i/>
          <w:sz w:val="22"/>
        </w:rPr>
        <w:footnoteReference w:id="4"/>
      </w:r>
      <w:r w:rsidRPr="00055B3D">
        <w:rPr>
          <w:i/>
          <w:sz w:val="22"/>
        </w:rPr>
        <w:t xml:space="preserve"> months, in association with the statement required by paragraph (b), the words –</w:t>
      </w:r>
    </w:p>
    <w:p w:rsidR="004B7D56" w:rsidRPr="00055B3D" w:rsidRDefault="004B7D56" w:rsidP="001B6F44">
      <w:pPr>
        <w:pStyle w:val="Paragraph"/>
        <w:rPr>
          <w:i/>
          <w:sz w:val="22"/>
        </w:rPr>
      </w:pPr>
    </w:p>
    <w:p w:rsidR="004B7D56" w:rsidRPr="00055B3D" w:rsidRDefault="004B7D56" w:rsidP="001B6F44">
      <w:pPr>
        <w:pStyle w:val="Subparagraph"/>
        <w:rPr>
          <w:i/>
          <w:sz w:val="22"/>
        </w:rPr>
      </w:pPr>
      <w:r w:rsidRPr="00055B3D">
        <w:rPr>
          <w:i/>
          <w:sz w:val="22"/>
        </w:rPr>
        <w:t xml:space="preserve">‘Not recommended for infants under the age of 4 months’ </w:t>
      </w:r>
    </w:p>
    <w:p w:rsidR="004B7D56" w:rsidRPr="005C0BD0" w:rsidRDefault="004B7D56" w:rsidP="003F766A">
      <w:pPr>
        <w:pStyle w:val="Heading2"/>
        <w:rPr>
          <w:u w:color="FFFF00"/>
        </w:rPr>
      </w:pPr>
      <w:bookmarkStart w:id="15" w:name="_Toc395777838"/>
      <w:bookmarkStart w:id="16" w:name="_Toc400022170"/>
      <w:r>
        <w:rPr>
          <w:u w:color="FFFF00"/>
        </w:rPr>
        <w:t>1.3</w:t>
      </w:r>
      <w:r>
        <w:rPr>
          <w:u w:color="FFFF00"/>
        </w:rPr>
        <w:tab/>
      </w:r>
      <w:r w:rsidRPr="005C0BD0">
        <w:rPr>
          <w:u w:color="FFFF00"/>
        </w:rPr>
        <w:t xml:space="preserve">Reasons for </w:t>
      </w:r>
      <w:r w:rsidRPr="00284453">
        <w:t>preparing the Proposal</w:t>
      </w:r>
      <w:bookmarkEnd w:id="15"/>
      <w:bookmarkEnd w:id="16"/>
    </w:p>
    <w:p w:rsidR="00055B3D" w:rsidRDefault="004B7D56" w:rsidP="003F766A">
      <w:pPr>
        <w:rPr>
          <w:rFonts w:cs="Arial"/>
        </w:rPr>
      </w:pPr>
      <w:r w:rsidRPr="00F657B4">
        <w:rPr>
          <w:rFonts w:cs="Arial"/>
        </w:rPr>
        <w:t xml:space="preserve">The Proposal was originally prepared in 2003 at the request of the then Ministerial Council, because </w:t>
      </w:r>
      <w:r>
        <w:rPr>
          <w:rFonts w:cs="Arial"/>
        </w:rPr>
        <w:t xml:space="preserve">of the </w:t>
      </w:r>
      <w:r>
        <w:rPr>
          <w:rFonts w:cs="Arial"/>
          <w:szCs w:val="22"/>
        </w:rPr>
        <w:t>apparent inconsistency</w:t>
      </w:r>
      <w:r w:rsidRPr="00F657B4">
        <w:rPr>
          <w:rFonts w:cs="Arial"/>
        </w:rPr>
        <w:t xml:space="preserve"> </w:t>
      </w:r>
      <w:r>
        <w:rPr>
          <w:rFonts w:cs="Arial"/>
        </w:rPr>
        <w:t xml:space="preserve">between </w:t>
      </w:r>
      <w:r w:rsidRPr="00F657B4">
        <w:rPr>
          <w:rFonts w:cs="Arial"/>
        </w:rPr>
        <w:t>the minimum</w:t>
      </w:r>
      <w:r w:rsidR="00E42BB4">
        <w:rPr>
          <w:rFonts w:cs="Arial"/>
        </w:rPr>
        <w:t xml:space="preserve"> </w:t>
      </w:r>
      <w:r w:rsidRPr="00F657B4">
        <w:rPr>
          <w:rFonts w:cs="Arial"/>
        </w:rPr>
        <w:t xml:space="preserve">age labelling </w:t>
      </w:r>
      <w:r w:rsidRPr="00E42BB4">
        <w:rPr>
          <w:rFonts w:cs="Arial"/>
        </w:rPr>
        <w:t>required by Standard</w:t>
      </w:r>
      <w:r w:rsidRPr="00F657B4">
        <w:rPr>
          <w:rFonts w:cs="Arial"/>
        </w:rPr>
        <w:t xml:space="preserve"> 2.9.2 </w:t>
      </w:r>
      <w:r w:rsidR="00B860B0">
        <w:rPr>
          <w:rFonts w:cs="Arial"/>
        </w:rPr>
        <w:t>(</w:t>
      </w:r>
      <w:r>
        <w:rPr>
          <w:rFonts w:cs="Arial"/>
        </w:rPr>
        <w:t>4 months</w:t>
      </w:r>
      <w:r w:rsidR="00B860B0">
        <w:rPr>
          <w:rFonts w:cs="Arial"/>
        </w:rPr>
        <w:t>)</w:t>
      </w:r>
      <w:r>
        <w:rPr>
          <w:rFonts w:cs="Arial"/>
        </w:rPr>
        <w:t xml:space="preserve"> and </w:t>
      </w:r>
      <w:r w:rsidRPr="00F657B4">
        <w:rPr>
          <w:rFonts w:cs="Arial"/>
        </w:rPr>
        <w:t xml:space="preserve">the </w:t>
      </w:r>
      <w:r>
        <w:rPr>
          <w:rFonts w:cs="Arial"/>
        </w:rPr>
        <w:t xml:space="preserve">revised </w:t>
      </w:r>
      <w:r w:rsidRPr="00F657B4">
        <w:rPr>
          <w:rFonts w:cs="Arial"/>
        </w:rPr>
        <w:t>recommendation</w:t>
      </w:r>
      <w:r>
        <w:rPr>
          <w:rFonts w:cs="Arial"/>
        </w:rPr>
        <w:t xml:space="preserve"> on the timing of introduction of solids</w:t>
      </w:r>
      <w:r w:rsidRPr="00F657B4">
        <w:rPr>
          <w:rFonts w:cs="Arial"/>
        </w:rPr>
        <w:t xml:space="preserve"> </w:t>
      </w:r>
      <w:r>
        <w:rPr>
          <w:rFonts w:cs="Arial"/>
        </w:rPr>
        <w:t xml:space="preserve">in the </w:t>
      </w:r>
      <w:r w:rsidRPr="00F657B4">
        <w:rPr>
          <w:rFonts w:cs="Arial"/>
        </w:rPr>
        <w:t xml:space="preserve">2003 </w:t>
      </w:r>
      <w:r>
        <w:rPr>
          <w:rFonts w:cs="Arial"/>
        </w:rPr>
        <w:t>NHMRC</w:t>
      </w:r>
      <w:r w:rsidRPr="00F657B4">
        <w:rPr>
          <w:rFonts w:cs="Arial"/>
        </w:rPr>
        <w:t xml:space="preserve"> </w:t>
      </w:r>
      <w:r w:rsidR="00C240F8" w:rsidRPr="00CA6A02">
        <w:t>infant feeding guidelines</w:t>
      </w:r>
      <w:r w:rsidR="00C240F8">
        <w:rPr>
          <w:rFonts w:cs="Arial"/>
        </w:rPr>
        <w:t xml:space="preserve"> </w:t>
      </w:r>
      <w:r w:rsidR="007F3212">
        <w:rPr>
          <w:rFonts w:cs="Arial"/>
        </w:rPr>
        <w:t>of ‘</w:t>
      </w:r>
      <w:r>
        <w:rPr>
          <w:rFonts w:cs="Arial"/>
        </w:rPr>
        <w:t>around 6 months</w:t>
      </w:r>
      <w:r w:rsidR="007F3212">
        <w:rPr>
          <w:rFonts w:cs="Arial"/>
        </w:rPr>
        <w:t>’</w:t>
      </w:r>
      <w:r>
        <w:rPr>
          <w:rFonts w:cs="Arial"/>
        </w:rPr>
        <w:t xml:space="preserve"> which had the potential to create community confusion</w:t>
      </w:r>
      <w:r w:rsidRPr="005813EE">
        <w:rPr>
          <w:rFonts w:cs="Arial"/>
        </w:rPr>
        <w:t xml:space="preserve">. </w:t>
      </w:r>
      <w:r w:rsidR="00055B3D">
        <w:rPr>
          <w:rFonts w:cs="Arial"/>
        </w:rPr>
        <w:br w:type="page"/>
      </w:r>
    </w:p>
    <w:p w:rsidR="004B7D56" w:rsidRPr="00615A1E" w:rsidRDefault="004B7D56" w:rsidP="003F766A">
      <w:r>
        <w:rPr>
          <w:rFonts w:cs="Arial"/>
        </w:rPr>
        <w:lastRenderedPageBreak/>
        <w:t>Since 2008, both the Australian and the</w:t>
      </w:r>
      <w:r w:rsidRPr="00F657B4">
        <w:rPr>
          <w:rFonts w:cs="Arial"/>
        </w:rPr>
        <w:t xml:space="preserve"> N</w:t>
      </w:r>
      <w:r w:rsidR="00C27B3D">
        <w:rPr>
          <w:rFonts w:cs="Arial"/>
        </w:rPr>
        <w:t xml:space="preserve">ew </w:t>
      </w:r>
      <w:r w:rsidRPr="00F657B4">
        <w:rPr>
          <w:rFonts w:cs="Arial"/>
        </w:rPr>
        <w:t>Z</w:t>
      </w:r>
      <w:r w:rsidR="00C27B3D">
        <w:rPr>
          <w:rFonts w:cs="Arial"/>
        </w:rPr>
        <w:t>ealand</w:t>
      </w:r>
      <w:r w:rsidRPr="00F657B4">
        <w:rPr>
          <w:rFonts w:cs="Arial"/>
        </w:rPr>
        <w:t xml:space="preserve"> </w:t>
      </w:r>
      <w:r w:rsidR="00C240F8" w:rsidRPr="00CA6A02">
        <w:t>infant feeding guidelines</w:t>
      </w:r>
      <w:r w:rsidR="00C240F8">
        <w:rPr>
          <w:rFonts w:cs="Arial"/>
        </w:rPr>
        <w:t xml:space="preserve"> </w:t>
      </w:r>
      <w:r>
        <w:rPr>
          <w:rFonts w:cs="Arial"/>
        </w:rPr>
        <w:t>have recommended introduc</w:t>
      </w:r>
      <w:r w:rsidR="001B6A1B">
        <w:rPr>
          <w:rFonts w:cs="Arial"/>
        </w:rPr>
        <w:t xml:space="preserve">ing </w:t>
      </w:r>
      <w:r>
        <w:rPr>
          <w:rFonts w:cs="Arial"/>
        </w:rPr>
        <w:t>solids at ‘around 6 months’ of age. Since NHMRC reaffirmed this recommendation in 2013, FSANZ continued to assess whether a variation to Standard 2.9.2 was warranted</w:t>
      </w:r>
      <w:r w:rsidRPr="00615A1E">
        <w:rPr>
          <w:rFonts w:cs="Arial"/>
        </w:rPr>
        <w:t xml:space="preserve">. </w:t>
      </w:r>
    </w:p>
    <w:p w:rsidR="004B7D56" w:rsidRPr="00C1054E" w:rsidRDefault="004B7D56" w:rsidP="001B6F44">
      <w:pPr>
        <w:pStyle w:val="Heading2"/>
      </w:pPr>
      <w:bookmarkStart w:id="17" w:name="_Toc395777840"/>
      <w:bookmarkStart w:id="18" w:name="_Toc400022171"/>
      <w:r>
        <w:t>1.4</w:t>
      </w:r>
      <w:r>
        <w:tab/>
      </w:r>
      <w:r w:rsidRPr="00C1054E">
        <w:t>Decision</w:t>
      </w:r>
      <w:bookmarkEnd w:id="17"/>
      <w:bookmarkEnd w:id="18"/>
    </w:p>
    <w:p w:rsidR="004B7D56" w:rsidRPr="00C1054E" w:rsidRDefault="004B7D56" w:rsidP="001B6F44">
      <w:pPr>
        <w:rPr>
          <w:b/>
        </w:rPr>
      </w:pPr>
      <w:r w:rsidRPr="00C1054E">
        <w:t>FSANZ</w:t>
      </w:r>
      <w:r>
        <w:t>’s</w:t>
      </w:r>
      <w:r w:rsidRPr="00C1054E">
        <w:t xml:space="preserve"> </w:t>
      </w:r>
      <w:r>
        <w:t>decision was to reject the draft variation</w:t>
      </w:r>
      <w:r w:rsidRPr="00C1054E">
        <w:t>. Th</w:t>
      </w:r>
      <w:r>
        <w:t>is</w:t>
      </w:r>
      <w:r w:rsidRPr="00C1054E">
        <w:t xml:space="preserve"> decision relates to the draft variation to Standard 2.9.2 which was </w:t>
      </w:r>
      <w:r w:rsidR="00186E32">
        <w:t xml:space="preserve">first </w:t>
      </w:r>
      <w:r w:rsidRPr="00C1054E">
        <w:t xml:space="preserve">released for public consultation with the Draft Assessment Report in 2004 (provided at Attachment A). </w:t>
      </w:r>
    </w:p>
    <w:p w:rsidR="004B7D56" w:rsidRPr="005C0BD0" w:rsidRDefault="004B7D56" w:rsidP="001B6F44">
      <w:pPr>
        <w:pStyle w:val="Heading1"/>
        <w:ind w:left="567" w:hanging="567"/>
      </w:pPr>
      <w:bookmarkStart w:id="19" w:name="_Toc395777841"/>
      <w:bookmarkStart w:id="20" w:name="_Toc400022172"/>
      <w:r>
        <w:t>2</w:t>
      </w:r>
      <w:r w:rsidRPr="005C0BD0">
        <w:tab/>
        <w:t xml:space="preserve">Summary of </w:t>
      </w:r>
      <w:r w:rsidRPr="0022793C">
        <w:t>findings</w:t>
      </w:r>
      <w:bookmarkEnd w:id="19"/>
      <w:bookmarkEnd w:id="20"/>
      <w:r>
        <w:t xml:space="preserve"> </w:t>
      </w:r>
    </w:p>
    <w:p w:rsidR="004B7D56" w:rsidRPr="005078CE" w:rsidRDefault="004B7D56" w:rsidP="001B6F44">
      <w:pPr>
        <w:pStyle w:val="Heading2"/>
      </w:pPr>
      <w:bookmarkStart w:id="21" w:name="_Toc395777842"/>
      <w:bookmarkStart w:id="22" w:name="_Toc400022173"/>
      <w:r w:rsidRPr="005078CE">
        <w:t>2.1</w:t>
      </w:r>
      <w:r w:rsidRPr="005078CE">
        <w:tab/>
        <w:t xml:space="preserve">Summary </w:t>
      </w:r>
      <w:r w:rsidRPr="00180142">
        <w:t>of views</w:t>
      </w:r>
      <w:r w:rsidRPr="005078CE">
        <w:t xml:space="preserve"> </w:t>
      </w:r>
      <w:r>
        <w:t>from submissions</w:t>
      </w:r>
      <w:r w:rsidRPr="00180142">
        <w:t xml:space="preserve"> </w:t>
      </w:r>
      <w:r>
        <w:t>(2003</w:t>
      </w:r>
      <w:r w:rsidR="00784537">
        <w:t>–</w:t>
      </w:r>
      <w:r>
        <w:t>13)</w:t>
      </w:r>
      <w:bookmarkEnd w:id="21"/>
      <w:bookmarkEnd w:id="22"/>
    </w:p>
    <w:p w:rsidR="004B7D56" w:rsidRDefault="004B7D56" w:rsidP="001B6F44">
      <w:pPr>
        <w:rPr>
          <w:lang w:bidi="ar-SA"/>
        </w:rPr>
      </w:pPr>
      <w:r>
        <w:rPr>
          <w:lang w:bidi="ar-SA"/>
        </w:rPr>
        <w:t>Table</w:t>
      </w:r>
      <w:r w:rsidR="003F766A">
        <w:rPr>
          <w:lang w:bidi="ar-SA"/>
        </w:rPr>
        <w:t xml:space="preserve"> </w:t>
      </w:r>
      <w:r>
        <w:rPr>
          <w:lang w:bidi="ar-SA"/>
        </w:rPr>
        <w:t xml:space="preserve">1 provides an overarching summary of stakeholder views </w:t>
      </w:r>
      <w:r w:rsidR="007F3212">
        <w:rPr>
          <w:lang w:bidi="ar-SA"/>
        </w:rPr>
        <w:t>from 2003</w:t>
      </w:r>
      <w:r w:rsidR="00FC05AA">
        <w:rPr>
          <w:lang w:bidi="ar-SA"/>
        </w:rPr>
        <w:t>–</w:t>
      </w:r>
      <w:r w:rsidR="007F3212">
        <w:rPr>
          <w:lang w:bidi="ar-SA"/>
        </w:rPr>
        <w:t>13</w:t>
      </w:r>
      <w:r w:rsidRPr="0023129D">
        <w:rPr>
          <w:lang w:bidi="ar-SA"/>
        </w:rPr>
        <w:t xml:space="preserve">. Refer to </w:t>
      </w:r>
      <w:r>
        <w:rPr>
          <w:lang w:bidi="ar-SA"/>
        </w:rPr>
        <w:t xml:space="preserve">FSANZ website </w:t>
      </w:r>
      <w:r w:rsidRPr="0023129D">
        <w:rPr>
          <w:lang w:bidi="ar-SA"/>
        </w:rPr>
        <w:t xml:space="preserve">for previous reports </w:t>
      </w:r>
      <w:r>
        <w:rPr>
          <w:lang w:bidi="ar-SA"/>
        </w:rPr>
        <w:t xml:space="preserve">and </w:t>
      </w:r>
      <w:r w:rsidRPr="0023129D">
        <w:rPr>
          <w:lang w:bidi="ar-SA"/>
        </w:rPr>
        <w:t>submissions</w:t>
      </w:r>
      <w:r w:rsidR="00D604DD">
        <w:rPr>
          <w:lang w:bidi="ar-SA"/>
        </w:rPr>
        <w:t xml:space="preserve"> at</w:t>
      </w:r>
      <w:r w:rsidR="00F3740D" w:rsidRPr="00F3740D">
        <w:t xml:space="preserve"> </w:t>
      </w:r>
      <w:hyperlink r:id="rId17" w:history="1">
        <w:r w:rsidR="00F3740D" w:rsidRPr="00081E1C">
          <w:rPr>
            <w:rStyle w:val="Hyperlink"/>
            <w:lang w:bidi="ar-SA"/>
          </w:rPr>
          <w:t>http://www.foodstandards.gov.au/code/proposals/Pages/proposalp274reviewofminimumagelabellingoffoodsforinfants/Default.aspx</w:t>
        </w:r>
      </w:hyperlink>
      <w:r w:rsidR="004D2F6D">
        <w:rPr>
          <w:lang w:bidi="ar-SA"/>
        </w:rPr>
        <w:t xml:space="preserve"> </w:t>
      </w:r>
      <w:r w:rsidR="00F3740D">
        <w:rPr>
          <w:lang w:bidi="ar-SA"/>
        </w:rPr>
        <w:t>a</w:t>
      </w:r>
      <w:r w:rsidR="00D604DD" w:rsidRPr="00D604DD">
        <w:rPr>
          <w:rFonts w:cs="Arial"/>
          <w:szCs w:val="22"/>
        </w:rPr>
        <w:t xml:space="preserve">nd </w:t>
      </w:r>
      <w:r w:rsidR="007F3212">
        <w:rPr>
          <w:rFonts w:cs="Arial"/>
          <w:szCs w:val="22"/>
        </w:rPr>
        <w:t xml:space="preserve">Supporting Document </w:t>
      </w:r>
      <w:r w:rsidR="000B3AC4">
        <w:rPr>
          <w:rFonts w:cs="Arial"/>
          <w:szCs w:val="22"/>
        </w:rPr>
        <w:t>(</w:t>
      </w:r>
      <w:r w:rsidR="004D2F6D">
        <w:rPr>
          <w:rFonts w:cs="Arial"/>
          <w:szCs w:val="22"/>
        </w:rPr>
        <w:t>SD2</w:t>
      </w:r>
      <w:r w:rsidR="000B3AC4">
        <w:rPr>
          <w:rFonts w:cs="Arial"/>
          <w:szCs w:val="22"/>
        </w:rPr>
        <w:t>)</w:t>
      </w:r>
      <w:r w:rsidR="004D2F6D">
        <w:rPr>
          <w:rFonts w:cs="Arial"/>
          <w:szCs w:val="22"/>
        </w:rPr>
        <w:t xml:space="preserve"> </w:t>
      </w:r>
      <w:r w:rsidRPr="0023129D">
        <w:rPr>
          <w:lang w:bidi="ar-SA"/>
        </w:rPr>
        <w:t xml:space="preserve">for a summary of submitter comments to the 2013 Consultation </w:t>
      </w:r>
      <w:r w:rsidR="003F766A" w:rsidRPr="0023129D">
        <w:rPr>
          <w:lang w:bidi="ar-SA"/>
        </w:rPr>
        <w:t>paper</w:t>
      </w:r>
      <w:r w:rsidRPr="0023129D">
        <w:rPr>
          <w:lang w:bidi="ar-SA"/>
        </w:rPr>
        <w:t xml:space="preserve">.  </w:t>
      </w:r>
    </w:p>
    <w:p w:rsidR="004B7D56" w:rsidRDefault="004B7D56" w:rsidP="001B6F44">
      <w:pPr>
        <w:rPr>
          <w:lang w:bidi="ar-SA"/>
        </w:rPr>
      </w:pPr>
    </w:p>
    <w:p w:rsidR="004B7D56" w:rsidRPr="00C93D0E" w:rsidRDefault="004B7D56" w:rsidP="001B6F44">
      <w:pPr>
        <w:pStyle w:val="FSTableTitle"/>
      </w:pPr>
      <w:r w:rsidRPr="00C93D0E">
        <w:t xml:space="preserve">Table 1: Overall summary </w:t>
      </w:r>
      <w:r w:rsidR="00EC3C0D">
        <w:t>of Stakeholder views</w:t>
      </w:r>
    </w:p>
    <w:tbl>
      <w:tblPr>
        <w:tblStyle w:val="TableGrid"/>
        <w:tblW w:w="0" w:type="auto"/>
        <w:tblLook w:val="04A0" w:firstRow="1" w:lastRow="0" w:firstColumn="1" w:lastColumn="0" w:noHBand="0" w:noVBand="1"/>
      </w:tblPr>
      <w:tblGrid>
        <w:gridCol w:w="781"/>
        <w:gridCol w:w="1847"/>
        <w:gridCol w:w="1994"/>
        <w:gridCol w:w="1586"/>
        <w:gridCol w:w="3078"/>
      </w:tblGrid>
      <w:tr w:rsidR="004B7D56" w:rsidRPr="00844148" w:rsidTr="00055B3D">
        <w:trPr>
          <w:tblHeader/>
        </w:trPr>
        <w:tc>
          <w:tcPr>
            <w:tcW w:w="781" w:type="dxa"/>
            <w:shd w:val="clear" w:color="auto" w:fill="EAF1DD" w:themeFill="accent3" w:themeFillTint="33"/>
          </w:tcPr>
          <w:p w:rsidR="004B7D56" w:rsidRPr="00844148" w:rsidRDefault="004B7D56" w:rsidP="00055B3D">
            <w:pPr>
              <w:pStyle w:val="Table1"/>
              <w:spacing w:after="0"/>
              <w:rPr>
                <w:rFonts w:ascii="Arial" w:hAnsi="Arial" w:cs="Arial"/>
                <w:b w:val="0"/>
                <w:sz w:val="20"/>
              </w:rPr>
            </w:pPr>
            <w:r w:rsidRPr="00844148">
              <w:rPr>
                <w:rFonts w:ascii="Arial" w:hAnsi="Arial" w:cs="Arial"/>
                <w:sz w:val="20"/>
              </w:rPr>
              <w:t>Year</w:t>
            </w:r>
          </w:p>
        </w:tc>
        <w:tc>
          <w:tcPr>
            <w:tcW w:w="1847" w:type="dxa"/>
            <w:shd w:val="clear" w:color="auto" w:fill="EAF1DD" w:themeFill="accent3" w:themeFillTint="33"/>
          </w:tcPr>
          <w:p w:rsidR="004B7D56" w:rsidRPr="00844148" w:rsidRDefault="004B7D56" w:rsidP="00055B3D">
            <w:pPr>
              <w:pStyle w:val="Table1"/>
              <w:spacing w:after="0"/>
              <w:rPr>
                <w:rFonts w:ascii="Arial" w:hAnsi="Arial" w:cs="Arial"/>
                <w:b w:val="0"/>
                <w:sz w:val="20"/>
              </w:rPr>
            </w:pPr>
            <w:r w:rsidRPr="00844148">
              <w:rPr>
                <w:rFonts w:ascii="Arial" w:hAnsi="Arial" w:cs="Arial"/>
                <w:sz w:val="20"/>
              </w:rPr>
              <w:t>Consultation</w:t>
            </w:r>
          </w:p>
        </w:tc>
        <w:tc>
          <w:tcPr>
            <w:tcW w:w="1994" w:type="dxa"/>
            <w:shd w:val="clear" w:color="auto" w:fill="EAF1DD" w:themeFill="accent3" w:themeFillTint="33"/>
          </w:tcPr>
          <w:p w:rsidR="004B7D56" w:rsidRPr="00844148" w:rsidRDefault="004B7D56" w:rsidP="00055B3D">
            <w:pPr>
              <w:pStyle w:val="Table1"/>
              <w:spacing w:after="0"/>
              <w:rPr>
                <w:rFonts w:ascii="Arial" w:hAnsi="Arial" w:cs="Arial"/>
                <w:b w:val="0"/>
                <w:sz w:val="20"/>
              </w:rPr>
            </w:pPr>
            <w:r w:rsidRPr="00844148">
              <w:rPr>
                <w:rFonts w:ascii="Arial" w:hAnsi="Arial" w:cs="Arial"/>
                <w:sz w:val="20"/>
              </w:rPr>
              <w:t xml:space="preserve">Proposed approach </w:t>
            </w:r>
          </w:p>
        </w:tc>
        <w:tc>
          <w:tcPr>
            <w:tcW w:w="1586" w:type="dxa"/>
            <w:shd w:val="clear" w:color="auto" w:fill="EAF1DD" w:themeFill="accent3" w:themeFillTint="33"/>
          </w:tcPr>
          <w:p w:rsidR="004B7D56" w:rsidRPr="00844148" w:rsidRDefault="004B7D56" w:rsidP="00055B3D">
            <w:pPr>
              <w:pStyle w:val="Table1"/>
              <w:spacing w:after="0"/>
              <w:rPr>
                <w:rFonts w:ascii="Arial" w:hAnsi="Arial" w:cs="Arial"/>
                <w:b w:val="0"/>
                <w:sz w:val="20"/>
              </w:rPr>
            </w:pPr>
            <w:r w:rsidRPr="00844148">
              <w:rPr>
                <w:rFonts w:ascii="Arial" w:hAnsi="Arial" w:cs="Arial"/>
                <w:sz w:val="20"/>
              </w:rPr>
              <w:t>Submissions</w:t>
            </w:r>
          </w:p>
        </w:tc>
        <w:tc>
          <w:tcPr>
            <w:tcW w:w="3078" w:type="dxa"/>
            <w:shd w:val="clear" w:color="auto" w:fill="EAF1DD" w:themeFill="accent3" w:themeFillTint="33"/>
          </w:tcPr>
          <w:p w:rsidR="004B7D56" w:rsidRDefault="004B7D56" w:rsidP="00055B3D">
            <w:pPr>
              <w:pStyle w:val="Table1"/>
              <w:spacing w:after="0"/>
              <w:rPr>
                <w:rFonts w:ascii="Arial" w:hAnsi="Arial" w:cs="Arial"/>
                <w:sz w:val="20"/>
              </w:rPr>
            </w:pPr>
            <w:r w:rsidRPr="00844148">
              <w:rPr>
                <w:rFonts w:ascii="Arial" w:hAnsi="Arial" w:cs="Arial"/>
                <w:sz w:val="20"/>
              </w:rPr>
              <w:t xml:space="preserve">General views of stakeholders </w:t>
            </w:r>
          </w:p>
          <w:p w:rsidR="00055B3D" w:rsidRPr="00844148" w:rsidRDefault="00055B3D" w:rsidP="00055B3D">
            <w:pPr>
              <w:pStyle w:val="Table1"/>
              <w:spacing w:after="0"/>
              <w:rPr>
                <w:rFonts w:ascii="Arial" w:hAnsi="Arial" w:cs="Arial"/>
                <w:b w:val="0"/>
                <w:sz w:val="20"/>
              </w:rPr>
            </w:pPr>
          </w:p>
        </w:tc>
      </w:tr>
      <w:tr w:rsidR="004B7D56" w:rsidRPr="00844148" w:rsidTr="001B6F44">
        <w:trPr>
          <w:cantSplit/>
        </w:trPr>
        <w:tc>
          <w:tcPr>
            <w:tcW w:w="781" w:type="dxa"/>
          </w:tcPr>
          <w:p w:rsidR="004B7D56" w:rsidRPr="00844148" w:rsidRDefault="004B7D56" w:rsidP="00720DAD">
            <w:pPr>
              <w:pStyle w:val="Table2"/>
              <w:rPr>
                <w:rFonts w:ascii="Arial" w:hAnsi="Arial" w:cs="Arial"/>
                <w:sz w:val="20"/>
              </w:rPr>
            </w:pPr>
            <w:r w:rsidRPr="00844148">
              <w:rPr>
                <w:rFonts w:ascii="Arial" w:hAnsi="Arial" w:cs="Arial"/>
                <w:sz w:val="20"/>
              </w:rPr>
              <w:t>2003</w:t>
            </w:r>
          </w:p>
        </w:tc>
        <w:tc>
          <w:tcPr>
            <w:tcW w:w="1847" w:type="dxa"/>
          </w:tcPr>
          <w:p w:rsidR="004B7D56" w:rsidRPr="00844148" w:rsidRDefault="004B7D56" w:rsidP="00720DAD">
            <w:pPr>
              <w:pStyle w:val="Table2"/>
              <w:rPr>
                <w:rFonts w:ascii="Arial" w:hAnsi="Arial" w:cs="Arial"/>
                <w:sz w:val="20"/>
              </w:rPr>
            </w:pPr>
            <w:r w:rsidRPr="00844148">
              <w:rPr>
                <w:rFonts w:ascii="Arial" w:hAnsi="Arial" w:cs="Arial"/>
                <w:sz w:val="20"/>
              </w:rPr>
              <w:t xml:space="preserve">Initial Assessment Report </w:t>
            </w:r>
          </w:p>
        </w:tc>
        <w:tc>
          <w:tcPr>
            <w:tcW w:w="1994" w:type="dxa"/>
          </w:tcPr>
          <w:p w:rsidR="004B7D56" w:rsidRPr="00844148" w:rsidRDefault="004B7D56" w:rsidP="00720DAD">
            <w:pPr>
              <w:pStyle w:val="Table2"/>
              <w:rPr>
                <w:rFonts w:ascii="Arial" w:hAnsi="Arial" w:cs="Arial"/>
                <w:sz w:val="20"/>
              </w:rPr>
            </w:pPr>
          </w:p>
        </w:tc>
        <w:tc>
          <w:tcPr>
            <w:tcW w:w="1586" w:type="dxa"/>
          </w:tcPr>
          <w:p w:rsidR="004B7D56" w:rsidRPr="00844148" w:rsidRDefault="004B7D56" w:rsidP="00720DAD">
            <w:pPr>
              <w:pStyle w:val="Table2"/>
              <w:rPr>
                <w:rFonts w:ascii="Arial" w:hAnsi="Arial" w:cs="Arial"/>
                <w:sz w:val="20"/>
              </w:rPr>
            </w:pPr>
            <w:r w:rsidRPr="00844148">
              <w:rPr>
                <w:rFonts w:ascii="Arial" w:hAnsi="Arial" w:cs="Arial"/>
                <w:sz w:val="20"/>
              </w:rPr>
              <w:t>34</w:t>
            </w:r>
          </w:p>
        </w:tc>
        <w:tc>
          <w:tcPr>
            <w:tcW w:w="3078" w:type="dxa"/>
          </w:tcPr>
          <w:p w:rsidR="004B7D56" w:rsidRPr="00844148" w:rsidRDefault="004B7D56" w:rsidP="00720DAD">
            <w:pPr>
              <w:pStyle w:val="Table2"/>
              <w:rPr>
                <w:rFonts w:ascii="Arial" w:hAnsi="Arial" w:cs="Arial"/>
                <w:sz w:val="20"/>
              </w:rPr>
            </w:pPr>
            <w:r w:rsidRPr="00844148">
              <w:rPr>
                <w:rFonts w:ascii="Arial" w:hAnsi="Arial" w:cs="Arial"/>
                <w:sz w:val="20"/>
              </w:rPr>
              <w:t>Majority supported amending Standard 2.9.2 to align with the 2003 Australian infant feeding guidelines.</w:t>
            </w:r>
          </w:p>
          <w:p w:rsidR="00EC3C0D" w:rsidRPr="00844148" w:rsidRDefault="00EC3C0D" w:rsidP="00720DAD">
            <w:pPr>
              <w:pStyle w:val="Table2"/>
              <w:rPr>
                <w:rFonts w:ascii="Arial" w:hAnsi="Arial" w:cs="Arial"/>
                <w:sz w:val="20"/>
              </w:rPr>
            </w:pPr>
          </w:p>
        </w:tc>
      </w:tr>
      <w:tr w:rsidR="004B7D56" w:rsidRPr="00844148" w:rsidTr="001B6F44">
        <w:trPr>
          <w:cantSplit/>
        </w:trPr>
        <w:tc>
          <w:tcPr>
            <w:tcW w:w="781" w:type="dxa"/>
          </w:tcPr>
          <w:p w:rsidR="004B7D56" w:rsidRPr="00844148" w:rsidRDefault="004B7D56" w:rsidP="00720DAD">
            <w:pPr>
              <w:pStyle w:val="Table2"/>
              <w:rPr>
                <w:rFonts w:ascii="Arial" w:hAnsi="Arial" w:cs="Arial"/>
                <w:sz w:val="20"/>
              </w:rPr>
            </w:pPr>
            <w:r w:rsidRPr="00844148">
              <w:rPr>
                <w:rFonts w:ascii="Arial" w:hAnsi="Arial" w:cs="Arial"/>
                <w:sz w:val="20"/>
              </w:rPr>
              <w:t>2004</w:t>
            </w:r>
          </w:p>
        </w:tc>
        <w:tc>
          <w:tcPr>
            <w:tcW w:w="1847" w:type="dxa"/>
          </w:tcPr>
          <w:p w:rsidR="004B7D56" w:rsidRPr="00844148" w:rsidRDefault="004B7D56" w:rsidP="00720DAD">
            <w:pPr>
              <w:pStyle w:val="Table2"/>
              <w:rPr>
                <w:rFonts w:ascii="Arial" w:hAnsi="Arial" w:cs="Arial"/>
                <w:sz w:val="20"/>
              </w:rPr>
            </w:pPr>
            <w:r w:rsidRPr="00844148">
              <w:rPr>
                <w:rFonts w:ascii="Arial" w:hAnsi="Arial" w:cs="Arial"/>
                <w:sz w:val="20"/>
              </w:rPr>
              <w:t>Draft Assessment Report including draft variation</w:t>
            </w:r>
          </w:p>
        </w:tc>
        <w:tc>
          <w:tcPr>
            <w:tcW w:w="1994" w:type="dxa"/>
          </w:tcPr>
          <w:p w:rsidR="004B7D56" w:rsidRPr="00844148" w:rsidRDefault="004B7D56" w:rsidP="00720DAD">
            <w:pPr>
              <w:pStyle w:val="Table2"/>
              <w:rPr>
                <w:rFonts w:ascii="Arial" w:hAnsi="Arial" w:cs="Arial"/>
                <w:sz w:val="20"/>
              </w:rPr>
            </w:pPr>
            <w:r w:rsidRPr="00844148">
              <w:rPr>
                <w:rFonts w:ascii="Arial" w:hAnsi="Arial" w:cs="Arial"/>
                <w:sz w:val="20"/>
              </w:rPr>
              <w:t xml:space="preserve">Amend the minimum reference age in Standard 2.9.2 to ‘around </w:t>
            </w:r>
            <w:r w:rsidR="00B860B0">
              <w:rPr>
                <w:rFonts w:ascii="Arial" w:hAnsi="Arial" w:cs="Arial"/>
                <w:sz w:val="20"/>
              </w:rPr>
              <w:t>6</w:t>
            </w:r>
            <w:r w:rsidRPr="00844148">
              <w:rPr>
                <w:rFonts w:ascii="Arial" w:hAnsi="Arial" w:cs="Arial"/>
                <w:sz w:val="20"/>
              </w:rPr>
              <w:t xml:space="preserve"> months’</w:t>
            </w:r>
          </w:p>
          <w:p w:rsidR="00EC3C0D" w:rsidRPr="00844148" w:rsidRDefault="00EC3C0D" w:rsidP="00720DAD">
            <w:pPr>
              <w:pStyle w:val="Table2"/>
              <w:rPr>
                <w:rFonts w:ascii="Arial" w:hAnsi="Arial" w:cs="Arial"/>
                <w:sz w:val="20"/>
              </w:rPr>
            </w:pPr>
          </w:p>
        </w:tc>
        <w:tc>
          <w:tcPr>
            <w:tcW w:w="1586" w:type="dxa"/>
          </w:tcPr>
          <w:p w:rsidR="004B7D56" w:rsidRPr="00844148" w:rsidRDefault="004B7D56" w:rsidP="00720DAD">
            <w:pPr>
              <w:pStyle w:val="Table2"/>
              <w:rPr>
                <w:rFonts w:ascii="Arial" w:hAnsi="Arial" w:cs="Arial"/>
                <w:sz w:val="20"/>
              </w:rPr>
            </w:pPr>
            <w:r w:rsidRPr="00844148">
              <w:rPr>
                <w:rFonts w:ascii="Arial" w:hAnsi="Arial" w:cs="Arial"/>
                <w:sz w:val="20"/>
              </w:rPr>
              <w:t>12</w:t>
            </w:r>
          </w:p>
        </w:tc>
        <w:tc>
          <w:tcPr>
            <w:tcW w:w="3078" w:type="dxa"/>
          </w:tcPr>
          <w:p w:rsidR="004B7D56" w:rsidRPr="00844148" w:rsidRDefault="004B7D56" w:rsidP="00720DAD">
            <w:pPr>
              <w:pStyle w:val="Table2"/>
              <w:rPr>
                <w:rFonts w:ascii="Arial" w:hAnsi="Arial" w:cs="Arial"/>
                <w:sz w:val="20"/>
              </w:rPr>
            </w:pPr>
            <w:r w:rsidRPr="00844148">
              <w:rPr>
                <w:rFonts w:ascii="Arial" w:hAnsi="Arial" w:cs="Arial"/>
                <w:sz w:val="20"/>
              </w:rPr>
              <w:t>Majority supported change to align with the 2003 Australian infant feeding guidelines.</w:t>
            </w:r>
          </w:p>
        </w:tc>
      </w:tr>
      <w:tr w:rsidR="004B7D56" w:rsidRPr="00844148" w:rsidTr="001B6F44">
        <w:trPr>
          <w:cantSplit/>
        </w:trPr>
        <w:tc>
          <w:tcPr>
            <w:tcW w:w="781" w:type="dxa"/>
          </w:tcPr>
          <w:p w:rsidR="004B7D56" w:rsidRPr="00844148" w:rsidRDefault="004B7D56" w:rsidP="00720DAD">
            <w:pPr>
              <w:pStyle w:val="Table2"/>
              <w:rPr>
                <w:rFonts w:ascii="Arial" w:hAnsi="Arial" w:cs="Arial"/>
                <w:sz w:val="20"/>
              </w:rPr>
            </w:pPr>
            <w:r w:rsidRPr="00844148">
              <w:rPr>
                <w:rFonts w:ascii="Arial" w:hAnsi="Arial" w:cs="Arial"/>
                <w:sz w:val="20"/>
              </w:rPr>
              <w:t>2007</w:t>
            </w:r>
          </w:p>
        </w:tc>
        <w:tc>
          <w:tcPr>
            <w:tcW w:w="1847" w:type="dxa"/>
          </w:tcPr>
          <w:p w:rsidR="004B7D56" w:rsidRPr="00844148" w:rsidRDefault="004B7D56" w:rsidP="00720DAD">
            <w:pPr>
              <w:pStyle w:val="Table2"/>
              <w:rPr>
                <w:rFonts w:ascii="Arial" w:hAnsi="Arial" w:cs="Arial"/>
                <w:sz w:val="20"/>
              </w:rPr>
            </w:pPr>
            <w:r w:rsidRPr="00844148">
              <w:rPr>
                <w:rFonts w:ascii="Arial" w:hAnsi="Arial" w:cs="Arial"/>
                <w:sz w:val="20"/>
              </w:rPr>
              <w:t>Public Consultation Paper on recommencement of P274</w:t>
            </w:r>
          </w:p>
        </w:tc>
        <w:tc>
          <w:tcPr>
            <w:tcW w:w="1994" w:type="dxa"/>
          </w:tcPr>
          <w:p w:rsidR="004B7D56" w:rsidRPr="00844148" w:rsidRDefault="004B7D56" w:rsidP="00B860B0">
            <w:pPr>
              <w:pStyle w:val="Table2"/>
              <w:rPr>
                <w:rFonts w:ascii="Arial" w:hAnsi="Arial" w:cs="Arial"/>
                <w:sz w:val="20"/>
              </w:rPr>
            </w:pPr>
            <w:r w:rsidRPr="00844148">
              <w:rPr>
                <w:rFonts w:ascii="Arial" w:hAnsi="Arial" w:cs="Arial"/>
                <w:sz w:val="20"/>
              </w:rPr>
              <w:t xml:space="preserve">Amend the minimum reference age in Standard 2.9.2 to ‘around </w:t>
            </w:r>
            <w:r w:rsidR="00B860B0">
              <w:rPr>
                <w:rFonts w:ascii="Arial" w:hAnsi="Arial" w:cs="Arial"/>
                <w:sz w:val="20"/>
              </w:rPr>
              <w:t>6</w:t>
            </w:r>
            <w:r w:rsidRPr="00844148">
              <w:rPr>
                <w:rFonts w:ascii="Arial" w:hAnsi="Arial" w:cs="Arial"/>
                <w:sz w:val="20"/>
              </w:rPr>
              <w:t xml:space="preserve"> months’</w:t>
            </w:r>
          </w:p>
        </w:tc>
        <w:tc>
          <w:tcPr>
            <w:tcW w:w="1586" w:type="dxa"/>
          </w:tcPr>
          <w:p w:rsidR="004B7D56" w:rsidRPr="00844148" w:rsidRDefault="004B7D56" w:rsidP="00720DAD">
            <w:pPr>
              <w:pStyle w:val="Table2"/>
              <w:rPr>
                <w:rFonts w:ascii="Arial" w:hAnsi="Arial" w:cs="Arial"/>
                <w:sz w:val="20"/>
              </w:rPr>
            </w:pPr>
            <w:r w:rsidRPr="00844148">
              <w:rPr>
                <w:rFonts w:ascii="Arial" w:hAnsi="Arial" w:cs="Arial"/>
                <w:sz w:val="20"/>
              </w:rPr>
              <w:t>20</w:t>
            </w:r>
          </w:p>
        </w:tc>
        <w:tc>
          <w:tcPr>
            <w:tcW w:w="3078" w:type="dxa"/>
          </w:tcPr>
          <w:p w:rsidR="00B860B0" w:rsidRDefault="004B7D56" w:rsidP="00B860B0">
            <w:pPr>
              <w:pStyle w:val="Table2"/>
              <w:rPr>
                <w:rFonts w:ascii="Arial" w:hAnsi="Arial" w:cs="Arial"/>
                <w:sz w:val="20"/>
              </w:rPr>
            </w:pPr>
            <w:r w:rsidRPr="00844148">
              <w:rPr>
                <w:rFonts w:ascii="Arial" w:hAnsi="Arial" w:cs="Arial"/>
                <w:sz w:val="20"/>
              </w:rPr>
              <w:t xml:space="preserve">Over half supported the proposed approach. New Zealand government also supported </w:t>
            </w:r>
            <w:r w:rsidR="00AE64F3" w:rsidRPr="00844148">
              <w:rPr>
                <w:rFonts w:ascii="Arial" w:hAnsi="Arial" w:cs="Arial"/>
                <w:sz w:val="20"/>
              </w:rPr>
              <w:t xml:space="preserve">labelling with </w:t>
            </w:r>
            <w:r w:rsidRPr="00844148">
              <w:rPr>
                <w:rFonts w:ascii="Arial" w:hAnsi="Arial" w:cs="Arial"/>
                <w:sz w:val="20"/>
              </w:rPr>
              <w:t>‘first stage’</w:t>
            </w:r>
            <w:r w:rsidR="000B3AC4" w:rsidRPr="00844148">
              <w:rPr>
                <w:rFonts w:ascii="Arial" w:hAnsi="Arial" w:cs="Arial"/>
                <w:sz w:val="20"/>
              </w:rPr>
              <w:t xml:space="preserve"> (of </w:t>
            </w:r>
            <w:r w:rsidR="004A7580" w:rsidRPr="00844148">
              <w:rPr>
                <w:rFonts w:ascii="Arial" w:hAnsi="Arial" w:cs="Arial"/>
                <w:sz w:val="20"/>
              </w:rPr>
              <w:t xml:space="preserve">introducing </w:t>
            </w:r>
            <w:r w:rsidR="000B3AC4" w:rsidRPr="00844148">
              <w:rPr>
                <w:rFonts w:ascii="Arial" w:hAnsi="Arial" w:cs="Arial"/>
                <w:sz w:val="20"/>
              </w:rPr>
              <w:t>solid food)</w:t>
            </w:r>
            <w:r w:rsidRPr="00844148">
              <w:rPr>
                <w:rFonts w:ascii="Arial" w:hAnsi="Arial" w:cs="Arial"/>
                <w:sz w:val="20"/>
              </w:rPr>
              <w:t>. Others supported status quo. Medical/allergy specialists suggested delay</w:t>
            </w:r>
            <w:r w:rsidR="007F3212" w:rsidRPr="00844148">
              <w:rPr>
                <w:rFonts w:ascii="Arial" w:hAnsi="Arial" w:cs="Arial"/>
                <w:sz w:val="20"/>
              </w:rPr>
              <w:t xml:space="preserve">ing decision to wait for results of </w:t>
            </w:r>
            <w:r w:rsidRPr="00844148">
              <w:rPr>
                <w:rFonts w:ascii="Arial" w:hAnsi="Arial" w:cs="Arial"/>
                <w:sz w:val="20"/>
              </w:rPr>
              <w:t>allergy research. Most jurisdictions, infant health and breastfeeding organisations supported the approach. Industry views were divided.</w:t>
            </w:r>
          </w:p>
          <w:p w:rsidR="00EC3C0D" w:rsidRPr="00844148" w:rsidRDefault="004B7D56" w:rsidP="00B860B0">
            <w:pPr>
              <w:pStyle w:val="Table2"/>
              <w:rPr>
                <w:rFonts w:ascii="Arial" w:hAnsi="Arial" w:cs="Arial"/>
                <w:sz w:val="20"/>
              </w:rPr>
            </w:pPr>
            <w:r w:rsidRPr="00844148">
              <w:rPr>
                <w:rFonts w:ascii="Arial" w:hAnsi="Arial" w:cs="Arial"/>
                <w:sz w:val="20"/>
              </w:rPr>
              <w:t xml:space="preserve"> </w:t>
            </w:r>
          </w:p>
        </w:tc>
      </w:tr>
      <w:tr w:rsidR="004B7D56" w:rsidRPr="00844148" w:rsidTr="001B6F44">
        <w:trPr>
          <w:cantSplit/>
        </w:trPr>
        <w:tc>
          <w:tcPr>
            <w:tcW w:w="781" w:type="dxa"/>
          </w:tcPr>
          <w:p w:rsidR="004B7D56" w:rsidRPr="00844148" w:rsidRDefault="004B7D56" w:rsidP="00720DAD">
            <w:pPr>
              <w:pStyle w:val="Table2"/>
              <w:rPr>
                <w:rFonts w:ascii="Arial" w:hAnsi="Arial" w:cs="Arial"/>
                <w:sz w:val="20"/>
              </w:rPr>
            </w:pPr>
            <w:r w:rsidRPr="00844148">
              <w:rPr>
                <w:rFonts w:ascii="Arial" w:hAnsi="Arial" w:cs="Arial"/>
                <w:sz w:val="20"/>
              </w:rPr>
              <w:lastRenderedPageBreak/>
              <w:t>2008</w:t>
            </w:r>
          </w:p>
        </w:tc>
        <w:tc>
          <w:tcPr>
            <w:tcW w:w="1847" w:type="dxa"/>
          </w:tcPr>
          <w:p w:rsidR="004B7D56" w:rsidRPr="00844148" w:rsidRDefault="004B7D56" w:rsidP="00720DAD">
            <w:pPr>
              <w:pStyle w:val="Table2"/>
              <w:rPr>
                <w:rFonts w:ascii="Arial" w:hAnsi="Arial" w:cs="Arial"/>
                <w:sz w:val="20"/>
              </w:rPr>
            </w:pPr>
            <w:r w:rsidRPr="00844148">
              <w:rPr>
                <w:rFonts w:ascii="Arial" w:hAnsi="Arial" w:cs="Arial"/>
                <w:sz w:val="20"/>
              </w:rPr>
              <w:t>Preliminary Final Assessment Report with draft variation, and  targeted consultation</w:t>
            </w:r>
          </w:p>
        </w:tc>
        <w:tc>
          <w:tcPr>
            <w:tcW w:w="1994" w:type="dxa"/>
          </w:tcPr>
          <w:p w:rsidR="004B7D56" w:rsidRPr="00844148" w:rsidRDefault="004B7D56" w:rsidP="00B860B0">
            <w:pPr>
              <w:pStyle w:val="Table2"/>
              <w:rPr>
                <w:rFonts w:ascii="Arial" w:hAnsi="Arial" w:cs="Arial"/>
                <w:sz w:val="20"/>
              </w:rPr>
            </w:pPr>
            <w:r w:rsidRPr="00844148">
              <w:rPr>
                <w:rFonts w:ascii="Arial" w:hAnsi="Arial" w:cs="Arial"/>
                <w:sz w:val="20"/>
              </w:rPr>
              <w:t xml:space="preserve">Amend the minimum reference age in Standard 2.9.2 to ‘around </w:t>
            </w:r>
            <w:r w:rsidR="00B860B0">
              <w:rPr>
                <w:rFonts w:ascii="Arial" w:hAnsi="Arial" w:cs="Arial"/>
                <w:sz w:val="20"/>
              </w:rPr>
              <w:t>6</w:t>
            </w:r>
            <w:r w:rsidRPr="00844148">
              <w:rPr>
                <w:rFonts w:ascii="Arial" w:hAnsi="Arial" w:cs="Arial"/>
                <w:sz w:val="20"/>
              </w:rPr>
              <w:t xml:space="preserve"> months’</w:t>
            </w:r>
          </w:p>
        </w:tc>
        <w:tc>
          <w:tcPr>
            <w:tcW w:w="1586" w:type="dxa"/>
          </w:tcPr>
          <w:p w:rsidR="004B7D56" w:rsidRPr="00844148" w:rsidRDefault="004B7D56" w:rsidP="00720DAD">
            <w:pPr>
              <w:pStyle w:val="Table2"/>
              <w:rPr>
                <w:rFonts w:ascii="Arial" w:hAnsi="Arial" w:cs="Arial"/>
                <w:sz w:val="20"/>
              </w:rPr>
            </w:pPr>
            <w:r w:rsidRPr="00844148">
              <w:rPr>
                <w:rFonts w:ascii="Arial" w:hAnsi="Arial" w:cs="Arial"/>
                <w:sz w:val="20"/>
              </w:rPr>
              <w:t>20</w:t>
            </w:r>
          </w:p>
        </w:tc>
        <w:tc>
          <w:tcPr>
            <w:tcW w:w="3078" w:type="dxa"/>
          </w:tcPr>
          <w:p w:rsidR="004B7D56" w:rsidRPr="00844148" w:rsidRDefault="004B7D56" w:rsidP="00720DAD">
            <w:pPr>
              <w:pStyle w:val="Table2"/>
              <w:rPr>
                <w:rFonts w:ascii="Arial" w:hAnsi="Arial" w:cs="Arial"/>
                <w:sz w:val="20"/>
              </w:rPr>
            </w:pPr>
            <w:r w:rsidRPr="00844148">
              <w:rPr>
                <w:rFonts w:ascii="Arial" w:hAnsi="Arial" w:cs="Arial"/>
                <w:sz w:val="20"/>
              </w:rPr>
              <w:t xml:space="preserve">Range of views. Majority generally supported alignment with guidelines; others supported retaining current requirements; some preferred labelling </w:t>
            </w:r>
            <w:r w:rsidR="0051711D" w:rsidRPr="00844148">
              <w:rPr>
                <w:rFonts w:ascii="Arial" w:hAnsi="Arial" w:cs="Arial"/>
                <w:sz w:val="20"/>
              </w:rPr>
              <w:t xml:space="preserve">that </w:t>
            </w:r>
            <w:r w:rsidRPr="00844148">
              <w:rPr>
                <w:rFonts w:ascii="Arial" w:hAnsi="Arial" w:cs="Arial"/>
                <w:sz w:val="20"/>
              </w:rPr>
              <w:t>refer</w:t>
            </w:r>
            <w:r w:rsidR="0051711D" w:rsidRPr="00844148">
              <w:rPr>
                <w:rFonts w:ascii="Arial" w:hAnsi="Arial" w:cs="Arial"/>
                <w:sz w:val="20"/>
              </w:rPr>
              <w:t>s</w:t>
            </w:r>
            <w:r w:rsidRPr="00844148">
              <w:rPr>
                <w:rFonts w:ascii="Arial" w:hAnsi="Arial" w:cs="Arial"/>
                <w:sz w:val="20"/>
              </w:rPr>
              <w:t xml:space="preserve"> to </w:t>
            </w:r>
            <w:r w:rsidR="0051711D" w:rsidRPr="00844148">
              <w:rPr>
                <w:rFonts w:ascii="Arial" w:hAnsi="Arial" w:cs="Arial"/>
                <w:sz w:val="20"/>
              </w:rPr>
              <w:t xml:space="preserve">the progressive </w:t>
            </w:r>
            <w:r w:rsidRPr="00844148">
              <w:rPr>
                <w:rFonts w:ascii="Arial" w:hAnsi="Arial" w:cs="Arial"/>
                <w:sz w:val="20"/>
              </w:rPr>
              <w:t>stages</w:t>
            </w:r>
            <w:r w:rsidR="000B3AC4" w:rsidRPr="00844148">
              <w:rPr>
                <w:rFonts w:ascii="Arial" w:hAnsi="Arial" w:cs="Arial"/>
                <w:sz w:val="20"/>
              </w:rPr>
              <w:t xml:space="preserve"> </w:t>
            </w:r>
            <w:r w:rsidR="000878E4" w:rsidRPr="00844148">
              <w:rPr>
                <w:rFonts w:ascii="Arial" w:hAnsi="Arial" w:cs="Arial"/>
                <w:sz w:val="20"/>
              </w:rPr>
              <w:t xml:space="preserve">of </w:t>
            </w:r>
            <w:r w:rsidR="000B3AC4" w:rsidRPr="00844148">
              <w:rPr>
                <w:rFonts w:ascii="Arial" w:hAnsi="Arial" w:cs="Arial"/>
                <w:sz w:val="20"/>
              </w:rPr>
              <w:t>introduc</w:t>
            </w:r>
            <w:r w:rsidR="000878E4" w:rsidRPr="00844148">
              <w:rPr>
                <w:rFonts w:ascii="Arial" w:hAnsi="Arial" w:cs="Arial"/>
                <w:sz w:val="20"/>
              </w:rPr>
              <w:t>ing</w:t>
            </w:r>
            <w:r w:rsidR="000B3AC4" w:rsidRPr="00844148">
              <w:rPr>
                <w:rFonts w:ascii="Arial" w:hAnsi="Arial" w:cs="Arial"/>
                <w:sz w:val="20"/>
              </w:rPr>
              <w:t xml:space="preserve"> solids</w:t>
            </w:r>
            <w:r w:rsidRPr="00844148">
              <w:rPr>
                <w:rFonts w:ascii="Arial" w:hAnsi="Arial" w:cs="Arial"/>
                <w:sz w:val="20"/>
              </w:rPr>
              <w:t xml:space="preserve">. Allergy specialists opposed change on the basis of emerging evidence for timing of </w:t>
            </w:r>
            <w:r w:rsidR="007F3212" w:rsidRPr="00844148">
              <w:rPr>
                <w:rFonts w:ascii="Arial" w:hAnsi="Arial" w:cs="Arial"/>
                <w:sz w:val="20"/>
              </w:rPr>
              <w:t xml:space="preserve">introduction of </w:t>
            </w:r>
            <w:r w:rsidRPr="00844148">
              <w:rPr>
                <w:rFonts w:ascii="Arial" w:hAnsi="Arial" w:cs="Arial"/>
                <w:sz w:val="20"/>
              </w:rPr>
              <w:t>solids and allergy prevention.</w:t>
            </w:r>
          </w:p>
          <w:p w:rsidR="00EC3C0D" w:rsidRPr="00844148" w:rsidRDefault="00EC3C0D" w:rsidP="00720DAD">
            <w:pPr>
              <w:pStyle w:val="Table2"/>
              <w:rPr>
                <w:rFonts w:ascii="Arial" w:hAnsi="Arial" w:cs="Arial"/>
                <w:sz w:val="20"/>
              </w:rPr>
            </w:pPr>
          </w:p>
        </w:tc>
      </w:tr>
      <w:tr w:rsidR="004B7D56" w:rsidRPr="00844148" w:rsidTr="001B6F44">
        <w:tc>
          <w:tcPr>
            <w:tcW w:w="781" w:type="dxa"/>
          </w:tcPr>
          <w:p w:rsidR="004B7D56" w:rsidRPr="00844148" w:rsidRDefault="004B7D56" w:rsidP="00720DAD">
            <w:pPr>
              <w:pStyle w:val="Table2"/>
              <w:rPr>
                <w:rFonts w:ascii="Arial" w:hAnsi="Arial" w:cs="Arial"/>
                <w:sz w:val="20"/>
              </w:rPr>
            </w:pPr>
            <w:r w:rsidRPr="00844148">
              <w:rPr>
                <w:rFonts w:ascii="Arial" w:hAnsi="Arial" w:cs="Arial"/>
                <w:sz w:val="20"/>
              </w:rPr>
              <w:t xml:space="preserve">2013 </w:t>
            </w:r>
          </w:p>
        </w:tc>
        <w:tc>
          <w:tcPr>
            <w:tcW w:w="1847" w:type="dxa"/>
          </w:tcPr>
          <w:p w:rsidR="004B7D56" w:rsidRPr="00844148" w:rsidRDefault="004B7D56" w:rsidP="00720DAD">
            <w:pPr>
              <w:pStyle w:val="Table2"/>
              <w:rPr>
                <w:rFonts w:ascii="Arial" w:hAnsi="Arial" w:cs="Arial"/>
                <w:sz w:val="20"/>
              </w:rPr>
            </w:pPr>
            <w:r w:rsidRPr="00844148">
              <w:rPr>
                <w:rFonts w:ascii="Arial" w:hAnsi="Arial" w:cs="Arial"/>
                <w:sz w:val="20"/>
              </w:rPr>
              <w:t>Public Consultation Paper, plus targeted consultation with industry and Jurisdictions.</w:t>
            </w:r>
          </w:p>
          <w:p w:rsidR="004B7D56" w:rsidRPr="00844148" w:rsidRDefault="004B7D56" w:rsidP="00720DAD">
            <w:pPr>
              <w:pStyle w:val="Table2"/>
              <w:rPr>
                <w:rFonts w:ascii="Arial" w:hAnsi="Arial" w:cs="Arial"/>
                <w:sz w:val="20"/>
              </w:rPr>
            </w:pPr>
          </w:p>
        </w:tc>
        <w:tc>
          <w:tcPr>
            <w:tcW w:w="1994" w:type="dxa"/>
          </w:tcPr>
          <w:p w:rsidR="004B7D56" w:rsidRPr="00844148" w:rsidRDefault="004B7D56" w:rsidP="00B860B0">
            <w:pPr>
              <w:pStyle w:val="Table2"/>
              <w:rPr>
                <w:rFonts w:ascii="Arial" w:hAnsi="Arial" w:cs="Arial"/>
                <w:sz w:val="20"/>
              </w:rPr>
            </w:pPr>
            <w:r w:rsidRPr="00844148">
              <w:rPr>
                <w:rFonts w:ascii="Arial" w:hAnsi="Arial" w:cs="Arial"/>
                <w:sz w:val="20"/>
              </w:rPr>
              <w:t xml:space="preserve">Amend the minimum reference age in Standard 2.9.2 to ‘around </w:t>
            </w:r>
            <w:r w:rsidR="00B860B0">
              <w:rPr>
                <w:rFonts w:ascii="Arial" w:hAnsi="Arial" w:cs="Arial"/>
                <w:sz w:val="20"/>
              </w:rPr>
              <w:t>6</w:t>
            </w:r>
            <w:r w:rsidRPr="00844148">
              <w:rPr>
                <w:rFonts w:ascii="Arial" w:hAnsi="Arial" w:cs="Arial"/>
                <w:sz w:val="20"/>
              </w:rPr>
              <w:t xml:space="preserve"> months’</w:t>
            </w:r>
          </w:p>
        </w:tc>
        <w:tc>
          <w:tcPr>
            <w:tcW w:w="1586" w:type="dxa"/>
          </w:tcPr>
          <w:p w:rsidR="004B7D56" w:rsidRPr="00844148" w:rsidRDefault="004B7D56" w:rsidP="00720DAD">
            <w:pPr>
              <w:pStyle w:val="Table2"/>
              <w:rPr>
                <w:rFonts w:ascii="Arial" w:hAnsi="Arial" w:cs="Arial"/>
                <w:sz w:val="20"/>
              </w:rPr>
            </w:pPr>
            <w:r w:rsidRPr="00844148">
              <w:rPr>
                <w:rFonts w:ascii="Arial" w:hAnsi="Arial" w:cs="Arial"/>
                <w:sz w:val="20"/>
              </w:rPr>
              <w:t>41</w:t>
            </w:r>
          </w:p>
        </w:tc>
        <w:tc>
          <w:tcPr>
            <w:tcW w:w="3078" w:type="dxa"/>
          </w:tcPr>
          <w:p w:rsidR="004B7D56" w:rsidRPr="00844148" w:rsidRDefault="004B7D56" w:rsidP="00720DAD">
            <w:pPr>
              <w:pStyle w:val="Table2"/>
              <w:rPr>
                <w:rFonts w:ascii="Arial" w:hAnsi="Arial" w:cs="Arial"/>
                <w:sz w:val="20"/>
              </w:rPr>
            </w:pPr>
            <w:r w:rsidRPr="00844148">
              <w:rPr>
                <w:rFonts w:ascii="Arial" w:hAnsi="Arial" w:cs="Arial"/>
                <w:sz w:val="20"/>
              </w:rPr>
              <w:t>Views more divergent – industry</w:t>
            </w:r>
            <w:r w:rsidR="00E42BB4" w:rsidRPr="00844148">
              <w:rPr>
                <w:rFonts w:ascii="Arial" w:hAnsi="Arial" w:cs="Arial"/>
                <w:sz w:val="20"/>
              </w:rPr>
              <w:t xml:space="preserve"> and</w:t>
            </w:r>
            <w:r w:rsidRPr="00844148">
              <w:rPr>
                <w:rFonts w:ascii="Arial" w:hAnsi="Arial" w:cs="Arial"/>
                <w:sz w:val="20"/>
              </w:rPr>
              <w:t xml:space="preserve"> allergy specialists opposed change;</w:t>
            </w:r>
            <w:r w:rsidR="00E42BB4" w:rsidRPr="00844148">
              <w:rPr>
                <w:rFonts w:ascii="Arial" w:hAnsi="Arial" w:cs="Arial"/>
                <w:sz w:val="20"/>
              </w:rPr>
              <w:t xml:space="preserve"> </w:t>
            </w:r>
            <w:r w:rsidRPr="00844148">
              <w:rPr>
                <w:rFonts w:ascii="Arial" w:hAnsi="Arial" w:cs="Arial"/>
                <w:sz w:val="20"/>
              </w:rPr>
              <w:t xml:space="preserve">health professional (non-allergy) organisations, health groups </w:t>
            </w:r>
            <w:r w:rsidR="000878E4" w:rsidRPr="00844148">
              <w:rPr>
                <w:rFonts w:ascii="Arial" w:hAnsi="Arial" w:cs="Arial"/>
                <w:sz w:val="20"/>
              </w:rPr>
              <w:t xml:space="preserve">and jurisdictions </w:t>
            </w:r>
            <w:r w:rsidRPr="00844148">
              <w:rPr>
                <w:rFonts w:ascii="Arial" w:hAnsi="Arial" w:cs="Arial"/>
                <w:sz w:val="20"/>
              </w:rPr>
              <w:t xml:space="preserve">supported change. Evidence </w:t>
            </w:r>
            <w:r w:rsidR="00E42BB4" w:rsidRPr="00844148">
              <w:rPr>
                <w:rFonts w:ascii="Arial" w:hAnsi="Arial" w:cs="Arial"/>
                <w:sz w:val="20"/>
              </w:rPr>
              <w:t xml:space="preserve">was </w:t>
            </w:r>
            <w:r w:rsidRPr="00844148">
              <w:rPr>
                <w:rFonts w:ascii="Arial" w:hAnsi="Arial" w:cs="Arial"/>
                <w:sz w:val="20"/>
              </w:rPr>
              <w:t xml:space="preserve">still emerging, randomised control trials in progress. Further details of impacts and costs </w:t>
            </w:r>
            <w:r w:rsidR="007F3212" w:rsidRPr="00844148">
              <w:rPr>
                <w:rFonts w:ascii="Arial" w:hAnsi="Arial" w:cs="Arial"/>
                <w:sz w:val="20"/>
              </w:rPr>
              <w:t xml:space="preserve">of proposed change </w:t>
            </w:r>
            <w:r w:rsidR="00E42BB4" w:rsidRPr="00844148">
              <w:rPr>
                <w:rFonts w:ascii="Arial" w:hAnsi="Arial" w:cs="Arial"/>
                <w:sz w:val="20"/>
              </w:rPr>
              <w:t xml:space="preserve">were provided by </w:t>
            </w:r>
            <w:r w:rsidRPr="00844148">
              <w:rPr>
                <w:rFonts w:ascii="Arial" w:hAnsi="Arial" w:cs="Arial"/>
                <w:sz w:val="20"/>
              </w:rPr>
              <w:t xml:space="preserve">industry. </w:t>
            </w:r>
          </w:p>
          <w:p w:rsidR="00EC3C0D" w:rsidRPr="00844148" w:rsidRDefault="00EC3C0D" w:rsidP="00720DAD">
            <w:pPr>
              <w:pStyle w:val="Table2"/>
              <w:rPr>
                <w:rFonts w:ascii="Arial" w:hAnsi="Arial" w:cs="Arial"/>
                <w:sz w:val="20"/>
              </w:rPr>
            </w:pPr>
          </w:p>
        </w:tc>
      </w:tr>
    </w:tbl>
    <w:p w:rsidR="004B7D56" w:rsidRPr="00D604DD" w:rsidRDefault="004B7D56" w:rsidP="001B6F44">
      <w:pPr>
        <w:rPr>
          <w:rFonts w:cs="Arial"/>
        </w:rPr>
      </w:pPr>
    </w:p>
    <w:p w:rsidR="004B7D56" w:rsidRPr="0060214E" w:rsidRDefault="004B7D56" w:rsidP="001B6F44">
      <w:pPr>
        <w:rPr>
          <w:szCs w:val="22"/>
        </w:rPr>
      </w:pPr>
      <w:r>
        <w:rPr>
          <w:rFonts w:cs="Arial"/>
        </w:rPr>
        <w:t>S</w:t>
      </w:r>
      <w:r w:rsidRPr="001D1ED4">
        <w:rPr>
          <w:rFonts w:cs="Arial"/>
        </w:rPr>
        <w:t>takeholders</w:t>
      </w:r>
      <w:r>
        <w:rPr>
          <w:rFonts w:cs="Arial"/>
        </w:rPr>
        <w:t>’</w:t>
      </w:r>
      <w:r w:rsidRPr="001D1ED4">
        <w:rPr>
          <w:rFonts w:cs="Arial"/>
        </w:rPr>
        <w:t xml:space="preserve"> views </w:t>
      </w:r>
      <w:r>
        <w:rPr>
          <w:rFonts w:cs="Arial"/>
        </w:rPr>
        <w:t>became</w:t>
      </w:r>
      <w:r w:rsidRPr="001D1ED4">
        <w:rPr>
          <w:rFonts w:cs="Arial"/>
        </w:rPr>
        <w:t xml:space="preserve"> more </w:t>
      </w:r>
      <w:r>
        <w:rPr>
          <w:rFonts w:cs="Arial"/>
        </w:rPr>
        <w:t xml:space="preserve">strongly </w:t>
      </w:r>
      <w:r w:rsidRPr="001D1ED4">
        <w:rPr>
          <w:rFonts w:cs="Arial"/>
        </w:rPr>
        <w:t>divergent</w:t>
      </w:r>
      <w:r>
        <w:rPr>
          <w:rFonts w:cs="Arial"/>
        </w:rPr>
        <w:t xml:space="preserve"> </w:t>
      </w:r>
      <w:r w:rsidRPr="005270D1">
        <w:rPr>
          <w:rFonts w:cs="Arial"/>
        </w:rPr>
        <w:t>over time</w:t>
      </w:r>
      <w:r>
        <w:rPr>
          <w:rFonts w:cs="Arial"/>
        </w:rPr>
        <w:t xml:space="preserve"> due to the emergence of </w:t>
      </w:r>
      <w:r w:rsidRPr="001D1ED4">
        <w:rPr>
          <w:rFonts w:cs="Arial"/>
        </w:rPr>
        <w:t xml:space="preserve">new </w:t>
      </w:r>
      <w:r>
        <w:rPr>
          <w:rFonts w:cs="Arial"/>
        </w:rPr>
        <w:t xml:space="preserve">scientific </w:t>
      </w:r>
      <w:r w:rsidRPr="001D1ED4">
        <w:rPr>
          <w:rFonts w:cs="Arial"/>
        </w:rPr>
        <w:t xml:space="preserve">evidence </w:t>
      </w:r>
      <w:r>
        <w:rPr>
          <w:rFonts w:cs="Arial"/>
        </w:rPr>
        <w:t xml:space="preserve">and </w:t>
      </w:r>
      <w:r w:rsidRPr="005270D1">
        <w:rPr>
          <w:rFonts w:cs="Arial"/>
        </w:rPr>
        <w:t xml:space="preserve">more detailed information </w:t>
      </w:r>
      <w:r>
        <w:rPr>
          <w:rFonts w:cs="Arial"/>
        </w:rPr>
        <w:t xml:space="preserve">about costs </w:t>
      </w:r>
      <w:r w:rsidR="00993A33">
        <w:rPr>
          <w:rFonts w:cs="Arial"/>
        </w:rPr>
        <w:t xml:space="preserve">of the proposed change </w:t>
      </w:r>
      <w:r w:rsidRPr="005270D1">
        <w:rPr>
          <w:rFonts w:cs="Arial"/>
        </w:rPr>
        <w:t xml:space="preserve">from </w:t>
      </w:r>
      <w:r>
        <w:rPr>
          <w:rFonts w:cs="Arial"/>
        </w:rPr>
        <w:t>the food industry</w:t>
      </w:r>
      <w:r w:rsidRPr="005270D1">
        <w:rPr>
          <w:rFonts w:cs="Arial"/>
        </w:rPr>
        <w:t>. As a result</w:t>
      </w:r>
      <w:r>
        <w:rPr>
          <w:rFonts w:cs="Arial"/>
        </w:rPr>
        <w:t>,</w:t>
      </w:r>
      <w:r w:rsidRPr="005270D1">
        <w:rPr>
          <w:rFonts w:cs="Arial"/>
        </w:rPr>
        <w:t xml:space="preserve"> </w:t>
      </w:r>
      <w:r w:rsidRPr="00B369E6">
        <w:rPr>
          <w:rFonts w:cs="Arial"/>
        </w:rPr>
        <w:t xml:space="preserve">FSANZ undertook </w:t>
      </w:r>
      <w:r>
        <w:rPr>
          <w:rFonts w:cs="Arial"/>
        </w:rPr>
        <w:t xml:space="preserve">further </w:t>
      </w:r>
      <w:r w:rsidRPr="00B369E6">
        <w:rPr>
          <w:rFonts w:cs="Arial"/>
        </w:rPr>
        <w:t>targeted consultation in 2014</w:t>
      </w:r>
      <w:r>
        <w:rPr>
          <w:rFonts w:cs="Arial"/>
        </w:rPr>
        <w:t xml:space="preserve">. This included discussions with </w:t>
      </w:r>
      <w:r w:rsidRPr="00B369E6">
        <w:rPr>
          <w:rFonts w:cs="Arial"/>
        </w:rPr>
        <w:t>NHMRC</w:t>
      </w:r>
      <w:r>
        <w:rPr>
          <w:rFonts w:cs="Arial"/>
        </w:rPr>
        <w:t xml:space="preserve"> regarding the evidence base supporting the </w:t>
      </w:r>
      <w:r w:rsidR="00E91E91">
        <w:rPr>
          <w:rFonts w:cs="Arial"/>
        </w:rPr>
        <w:t xml:space="preserve">2013 </w:t>
      </w:r>
      <w:r>
        <w:rPr>
          <w:rFonts w:cs="Arial"/>
        </w:rPr>
        <w:t>infant feeding guidelines;</w:t>
      </w:r>
      <w:r w:rsidRPr="0000419B">
        <w:rPr>
          <w:rFonts w:cs="Arial"/>
          <w:szCs w:val="22"/>
        </w:rPr>
        <w:t xml:space="preserve"> and with the </w:t>
      </w:r>
      <w:r w:rsidRPr="0060214E">
        <w:rPr>
          <w:rFonts w:cs="Arial"/>
          <w:szCs w:val="22"/>
        </w:rPr>
        <w:t>OBPR in Australia regarding requirements for changing regulation in the</w:t>
      </w:r>
      <w:r w:rsidRPr="0060214E">
        <w:rPr>
          <w:szCs w:val="22"/>
        </w:rPr>
        <w:t xml:space="preserve"> Australian context</w:t>
      </w:r>
      <w:r w:rsidRPr="003F766A">
        <w:rPr>
          <w:rFonts w:cs="Arial"/>
          <w:szCs w:val="22"/>
        </w:rPr>
        <w:t xml:space="preserve">. </w:t>
      </w:r>
      <w:bookmarkStart w:id="23" w:name="_Toc395777843"/>
      <w:r w:rsidR="00B65045" w:rsidRPr="003F766A">
        <w:rPr>
          <w:rFonts w:cs="Arial"/>
          <w:szCs w:val="22"/>
        </w:rPr>
        <w:t>T</w:t>
      </w:r>
      <w:r w:rsidR="004E31FE" w:rsidRPr="00B65045">
        <w:rPr>
          <w:rFonts w:cs="Arial"/>
          <w:szCs w:val="22"/>
        </w:rPr>
        <w:t>h</w:t>
      </w:r>
      <w:r w:rsidR="004E31FE" w:rsidRPr="00B65045">
        <w:rPr>
          <w:szCs w:val="22"/>
        </w:rPr>
        <w:t xml:space="preserve">e </w:t>
      </w:r>
      <w:r w:rsidRPr="0060214E">
        <w:rPr>
          <w:szCs w:val="22"/>
        </w:rPr>
        <w:t>possibility of retaining the status quo</w:t>
      </w:r>
      <w:r w:rsidR="00470721">
        <w:rPr>
          <w:szCs w:val="22"/>
        </w:rPr>
        <w:t xml:space="preserve"> and the </w:t>
      </w:r>
      <w:r w:rsidR="003F766A">
        <w:rPr>
          <w:szCs w:val="22"/>
        </w:rPr>
        <w:t xml:space="preserve">accompanying </w:t>
      </w:r>
      <w:r w:rsidR="00470721">
        <w:rPr>
          <w:szCs w:val="22"/>
        </w:rPr>
        <w:t>rationale</w:t>
      </w:r>
      <w:r w:rsidRPr="0060214E">
        <w:rPr>
          <w:szCs w:val="22"/>
        </w:rPr>
        <w:t xml:space="preserve"> was also raised with some stakeholder groups. </w:t>
      </w:r>
      <w:r w:rsidR="004E31FE" w:rsidRPr="0060214E">
        <w:rPr>
          <w:szCs w:val="22"/>
        </w:rPr>
        <w:t xml:space="preserve">Industry </w:t>
      </w:r>
      <w:r w:rsidRPr="0060214E">
        <w:rPr>
          <w:szCs w:val="22"/>
        </w:rPr>
        <w:t>stakeholders, allergy specialists and some jurisdictions did not support changing the labelling requirements, whereas other public health stakeholders and at least half of the jurisdictions were supportive of change.</w:t>
      </w:r>
      <w:r w:rsidR="004E31FE" w:rsidRPr="0060214E">
        <w:rPr>
          <w:szCs w:val="22"/>
        </w:rPr>
        <w:t xml:space="preserve"> Within these groups, some parties had changed their view</w:t>
      </w:r>
      <w:r w:rsidR="00E91E91">
        <w:rPr>
          <w:szCs w:val="22"/>
        </w:rPr>
        <w:t xml:space="preserve"> over time</w:t>
      </w:r>
      <w:r w:rsidR="004E31FE" w:rsidRPr="0060214E">
        <w:rPr>
          <w:szCs w:val="22"/>
        </w:rPr>
        <w:t>.</w:t>
      </w:r>
    </w:p>
    <w:p w:rsidR="004B7D56" w:rsidRPr="0000419B" w:rsidRDefault="004B7D56" w:rsidP="001B6F44">
      <w:pPr>
        <w:pStyle w:val="Heading2"/>
      </w:pPr>
      <w:bookmarkStart w:id="24" w:name="_Toc400022174"/>
      <w:r w:rsidRPr="0000419B">
        <w:t>2.</w:t>
      </w:r>
      <w:r>
        <w:t>2</w:t>
      </w:r>
      <w:r w:rsidRPr="0000419B">
        <w:tab/>
      </w:r>
      <w:r w:rsidR="00B860B0">
        <w:t>FSANZ r</w:t>
      </w:r>
      <w:r w:rsidRPr="0000419B">
        <w:t>isk assessments</w:t>
      </w:r>
      <w:r>
        <w:t xml:space="preserve"> and evidence base</w:t>
      </w:r>
      <w:bookmarkEnd w:id="23"/>
      <w:bookmarkEnd w:id="24"/>
      <w:r>
        <w:t xml:space="preserve"> </w:t>
      </w:r>
    </w:p>
    <w:p w:rsidR="004B7D56" w:rsidRDefault="004B7D56" w:rsidP="001B6F44">
      <w:r>
        <w:rPr>
          <w:lang w:bidi="ar-SA"/>
        </w:rPr>
        <w:t xml:space="preserve">In 2004, FSANZ </w:t>
      </w:r>
      <w:r w:rsidR="00F861A1">
        <w:rPr>
          <w:lang w:bidi="ar-SA"/>
        </w:rPr>
        <w:t xml:space="preserve">prepared </w:t>
      </w:r>
      <w:r>
        <w:rPr>
          <w:lang w:bidi="ar-SA"/>
        </w:rPr>
        <w:t>a risk</w:t>
      </w:r>
      <w:r w:rsidRPr="009158D6">
        <w:rPr>
          <w:lang w:bidi="ar-SA"/>
        </w:rPr>
        <w:t xml:space="preserve"> assessment</w:t>
      </w:r>
      <w:r>
        <w:rPr>
          <w:lang w:bidi="ar-SA"/>
        </w:rPr>
        <w:t xml:space="preserve"> on the </w:t>
      </w:r>
      <w:r>
        <w:t>timing and introduction to solid foods</w:t>
      </w:r>
      <w:r>
        <w:rPr>
          <w:lang w:bidi="ar-SA"/>
        </w:rPr>
        <w:t xml:space="preserve"> </w:t>
      </w:r>
      <w:r w:rsidR="00827866">
        <w:rPr>
          <w:lang w:bidi="ar-SA"/>
        </w:rPr>
        <w:t xml:space="preserve">for infants </w:t>
      </w:r>
      <w:r>
        <w:rPr>
          <w:lang w:bidi="ar-SA"/>
        </w:rPr>
        <w:t>as part of the Draft Assessment.</w:t>
      </w:r>
      <w:r w:rsidRPr="009158D6">
        <w:rPr>
          <w:lang w:bidi="ar-SA"/>
        </w:rPr>
        <w:t xml:space="preserve"> </w:t>
      </w:r>
      <w:r w:rsidRPr="002E293A">
        <w:t>More recently, FSANZ prepared risk assessments relating to the appropriate age of introduction of solid</w:t>
      </w:r>
      <w:r>
        <w:t xml:space="preserve"> foods on three occasions: 2008, 2013 and 2014. These assessments were produced with a </w:t>
      </w:r>
      <w:r w:rsidR="00BB648A">
        <w:t xml:space="preserve">tiered </w:t>
      </w:r>
      <w:r>
        <w:t xml:space="preserve">approach, that is, the risk assessment in 2008 covered a broad range of health effects, the 2013 assessment focussed largely on the main area of new evidence (development of food allergies) </w:t>
      </w:r>
      <w:r w:rsidR="003F766A">
        <w:t>and</w:t>
      </w:r>
      <w:r>
        <w:t xml:space="preserve"> the 2014 assessment primarily addressed new matters raised by submitters in response to the 2013 Consultation paper. </w:t>
      </w:r>
    </w:p>
    <w:p w:rsidR="004B7D56" w:rsidRDefault="004B7D56" w:rsidP="001B6F44"/>
    <w:p w:rsidR="00055B3D" w:rsidRDefault="004B7D56" w:rsidP="001B6F44">
      <w:r w:rsidRPr="003E312A">
        <w:rPr>
          <w:lang w:bidi="ar-SA"/>
        </w:rPr>
        <w:t xml:space="preserve">The content of </w:t>
      </w:r>
      <w:r>
        <w:rPr>
          <w:lang w:bidi="ar-SA"/>
        </w:rPr>
        <w:t xml:space="preserve">these more recent </w:t>
      </w:r>
      <w:r w:rsidRPr="003E312A">
        <w:rPr>
          <w:lang w:bidi="ar-SA"/>
        </w:rPr>
        <w:t>assessment</w:t>
      </w:r>
      <w:r>
        <w:rPr>
          <w:lang w:bidi="ar-SA"/>
        </w:rPr>
        <w:t>s</w:t>
      </w:r>
      <w:r w:rsidRPr="003E312A">
        <w:rPr>
          <w:lang w:bidi="ar-SA"/>
        </w:rPr>
        <w:t xml:space="preserve">, and the conclusion of each, is summarised in </w:t>
      </w:r>
      <w:r w:rsidR="003F766A" w:rsidRPr="003E312A">
        <w:rPr>
          <w:lang w:bidi="ar-SA"/>
        </w:rPr>
        <w:t xml:space="preserve">Table </w:t>
      </w:r>
      <w:r w:rsidR="003F766A">
        <w:rPr>
          <w:lang w:bidi="ar-SA"/>
        </w:rPr>
        <w:t>2</w:t>
      </w:r>
      <w:r w:rsidRPr="003E312A">
        <w:rPr>
          <w:lang w:bidi="ar-SA"/>
        </w:rPr>
        <w:t xml:space="preserve">. </w:t>
      </w:r>
      <w:r>
        <w:t>Please refer to SD1 for details of the assessment undertaken during 2013</w:t>
      </w:r>
      <w:r w:rsidR="00720DAD">
        <w:t>–</w:t>
      </w:r>
      <w:r>
        <w:t>4 and a summary of the previous 2008 assessment.</w:t>
      </w:r>
      <w:r w:rsidR="00055B3D">
        <w:br w:type="page"/>
      </w:r>
    </w:p>
    <w:p w:rsidR="004B7D56" w:rsidRPr="00021E2E" w:rsidRDefault="004B7D56" w:rsidP="00EC3FC1">
      <w:pPr>
        <w:pStyle w:val="FSTableTitle"/>
        <w:keepNext/>
        <w:keepLines/>
        <w:rPr>
          <w:sz w:val="20"/>
          <w:szCs w:val="20"/>
        </w:rPr>
      </w:pPr>
      <w:r w:rsidRPr="00792176">
        <w:lastRenderedPageBreak/>
        <w:t>Table</w:t>
      </w:r>
      <w:r>
        <w:t xml:space="preserve"> 2:</w:t>
      </w:r>
      <w:r w:rsidRPr="00792176">
        <w:t xml:space="preserve"> Summary</w:t>
      </w:r>
      <w:r w:rsidRPr="00EA4275">
        <w:t xml:space="preserve"> of issues considered in FSANZ risk assessments relating to the age of introduction of solid fo</w:t>
      </w:r>
      <w:r>
        <w:t>o</w:t>
      </w:r>
      <w:r w:rsidRPr="00EA4275">
        <w:t>ds</w:t>
      </w:r>
    </w:p>
    <w:tbl>
      <w:tblPr>
        <w:tblStyle w:val="TableGrid"/>
        <w:tblW w:w="9072" w:type="dxa"/>
        <w:tblLook w:val="04A0" w:firstRow="1" w:lastRow="0" w:firstColumn="1" w:lastColumn="0" w:noHBand="0" w:noVBand="1"/>
      </w:tblPr>
      <w:tblGrid>
        <w:gridCol w:w="1367"/>
        <w:gridCol w:w="3351"/>
        <w:gridCol w:w="4354"/>
      </w:tblGrid>
      <w:tr w:rsidR="004B7D56" w:rsidRPr="00844148" w:rsidTr="00055B3D">
        <w:trPr>
          <w:tblHeader/>
        </w:trPr>
        <w:tc>
          <w:tcPr>
            <w:tcW w:w="1368" w:type="dxa"/>
            <w:tcBorders>
              <w:bottom w:val="single" w:sz="4" w:space="0" w:color="000000"/>
            </w:tcBorders>
            <w:shd w:val="clear" w:color="auto" w:fill="EAF1DD" w:themeFill="accent3" w:themeFillTint="33"/>
          </w:tcPr>
          <w:p w:rsidR="004B7D56" w:rsidRDefault="004B7D56" w:rsidP="00EC3FC1">
            <w:pPr>
              <w:pStyle w:val="FSTableText"/>
              <w:keepNext/>
              <w:keepLines/>
              <w:rPr>
                <w:rFonts w:ascii="Arial" w:hAnsi="Arial"/>
                <w:b/>
              </w:rPr>
            </w:pPr>
            <w:r w:rsidRPr="00844148">
              <w:rPr>
                <w:rFonts w:ascii="Arial" w:hAnsi="Arial"/>
                <w:b/>
              </w:rPr>
              <w:t>Date of assessment</w:t>
            </w:r>
          </w:p>
          <w:p w:rsidR="00055B3D" w:rsidRPr="00844148" w:rsidRDefault="00055B3D" w:rsidP="00EC3FC1">
            <w:pPr>
              <w:pStyle w:val="FSTableText"/>
              <w:keepNext/>
              <w:keepLines/>
              <w:rPr>
                <w:rFonts w:ascii="Arial" w:hAnsi="Arial"/>
                <w:b/>
              </w:rPr>
            </w:pPr>
          </w:p>
        </w:tc>
        <w:tc>
          <w:tcPr>
            <w:tcW w:w="3510" w:type="dxa"/>
            <w:shd w:val="clear" w:color="auto" w:fill="EAF1DD" w:themeFill="accent3" w:themeFillTint="33"/>
          </w:tcPr>
          <w:p w:rsidR="004B7D56" w:rsidRPr="00844148" w:rsidRDefault="004B7D56" w:rsidP="00EC3FC1">
            <w:pPr>
              <w:pStyle w:val="FSTableText"/>
              <w:keepNext/>
              <w:keepLines/>
              <w:rPr>
                <w:rFonts w:ascii="Arial" w:hAnsi="Arial"/>
                <w:b/>
              </w:rPr>
            </w:pPr>
            <w:r w:rsidRPr="00844148">
              <w:rPr>
                <w:rFonts w:ascii="Arial" w:hAnsi="Arial"/>
                <w:b/>
              </w:rPr>
              <w:t>Issues considered</w:t>
            </w:r>
          </w:p>
        </w:tc>
        <w:tc>
          <w:tcPr>
            <w:tcW w:w="4586" w:type="dxa"/>
            <w:shd w:val="clear" w:color="auto" w:fill="EAF1DD" w:themeFill="accent3" w:themeFillTint="33"/>
          </w:tcPr>
          <w:p w:rsidR="004B7D56" w:rsidRPr="00844148" w:rsidRDefault="004B7D56" w:rsidP="00EC3FC1">
            <w:pPr>
              <w:pStyle w:val="FSTableText"/>
              <w:keepNext/>
              <w:keepLines/>
              <w:rPr>
                <w:rFonts w:ascii="Arial" w:hAnsi="Arial"/>
                <w:b/>
              </w:rPr>
            </w:pPr>
            <w:r w:rsidRPr="00844148">
              <w:rPr>
                <w:rFonts w:ascii="Arial" w:hAnsi="Arial"/>
                <w:b/>
              </w:rPr>
              <w:t>Conclusions</w:t>
            </w:r>
          </w:p>
        </w:tc>
      </w:tr>
      <w:tr w:rsidR="004B7D56" w:rsidRPr="00844148" w:rsidTr="00055B3D">
        <w:trPr>
          <w:cantSplit/>
        </w:trPr>
        <w:tc>
          <w:tcPr>
            <w:tcW w:w="1368" w:type="dxa"/>
            <w:tcBorders>
              <w:bottom w:val="nil"/>
            </w:tcBorders>
          </w:tcPr>
          <w:p w:rsidR="004B7D56" w:rsidRPr="00844148" w:rsidRDefault="004B7D56" w:rsidP="00EC3FC1">
            <w:pPr>
              <w:pStyle w:val="Table2"/>
              <w:keepNext/>
              <w:keepLines/>
              <w:rPr>
                <w:rFonts w:ascii="Arial" w:hAnsi="Arial" w:cs="Arial"/>
                <w:b/>
                <w:sz w:val="20"/>
              </w:rPr>
            </w:pPr>
            <w:r w:rsidRPr="00844148">
              <w:rPr>
                <w:rFonts w:ascii="Arial" w:hAnsi="Arial" w:cs="Arial"/>
                <w:b/>
                <w:sz w:val="20"/>
              </w:rPr>
              <w:t>August 2008</w:t>
            </w:r>
          </w:p>
        </w:tc>
        <w:tc>
          <w:tcPr>
            <w:tcW w:w="3510" w:type="dxa"/>
          </w:tcPr>
          <w:p w:rsidR="004B7D56" w:rsidRDefault="004B7D56" w:rsidP="00EC3FC1">
            <w:pPr>
              <w:pStyle w:val="Table2"/>
              <w:keepNext/>
              <w:keepLines/>
              <w:rPr>
                <w:rFonts w:ascii="Arial" w:hAnsi="Arial" w:cs="Arial"/>
                <w:sz w:val="20"/>
              </w:rPr>
            </w:pPr>
            <w:r w:rsidRPr="00844148">
              <w:rPr>
                <w:rFonts w:ascii="Arial" w:hAnsi="Arial" w:cs="Arial"/>
                <w:sz w:val="20"/>
              </w:rPr>
              <w:t>Potential for displacement of breast milk and/or formula, any changes in energy intake, and whether growth outcomes are adversely affected</w:t>
            </w:r>
          </w:p>
          <w:p w:rsidR="00055B3D" w:rsidRPr="00844148" w:rsidRDefault="00055B3D" w:rsidP="00EC3FC1">
            <w:pPr>
              <w:pStyle w:val="Table2"/>
              <w:keepNext/>
              <w:keepLines/>
              <w:rPr>
                <w:rFonts w:ascii="Arial" w:hAnsi="Arial" w:cs="Arial"/>
                <w:sz w:val="20"/>
              </w:rPr>
            </w:pPr>
          </w:p>
        </w:tc>
        <w:tc>
          <w:tcPr>
            <w:tcW w:w="4586" w:type="dxa"/>
          </w:tcPr>
          <w:p w:rsidR="00EC3C0D" w:rsidRPr="00844148" w:rsidRDefault="004B7D56" w:rsidP="00AB3CF1">
            <w:pPr>
              <w:pStyle w:val="Table2"/>
              <w:keepNext/>
              <w:keepLines/>
              <w:rPr>
                <w:rFonts w:ascii="Arial" w:hAnsi="Arial" w:cs="Arial"/>
                <w:sz w:val="20"/>
              </w:rPr>
            </w:pPr>
            <w:r w:rsidRPr="00844148">
              <w:rPr>
                <w:rFonts w:ascii="Arial" w:hAnsi="Arial" w:cs="Arial"/>
                <w:sz w:val="20"/>
              </w:rPr>
              <w:t>Intervention studies show introduction of solids at 3</w:t>
            </w:r>
            <w:r w:rsidR="00784537" w:rsidRPr="00844148">
              <w:rPr>
                <w:rFonts w:ascii="Arial" w:hAnsi="Arial" w:cs="Arial"/>
                <w:sz w:val="20"/>
              </w:rPr>
              <w:t>–</w:t>
            </w:r>
            <w:r w:rsidRPr="00844148">
              <w:rPr>
                <w:rFonts w:ascii="Arial" w:hAnsi="Arial" w:cs="Arial"/>
                <w:sz w:val="20"/>
              </w:rPr>
              <w:t>4 months of age reduces breast milk intake but does not significantly affect the rate of increase in weight and length of the infant</w:t>
            </w:r>
            <w:r w:rsidR="00EC3C0D" w:rsidRPr="00844148">
              <w:rPr>
                <w:rFonts w:ascii="Arial" w:hAnsi="Arial" w:cs="Arial"/>
                <w:sz w:val="20"/>
              </w:rPr>
              <w:t>.</w:t>
            </w:r>
          </w:p>
        </w:tc>
      </w:tr>
      <w:tr w:rsidR="004B7D56" w:rsidRPr="00844148" w:rsidTr="00055B3D">
        <w:trPr>
          <w:cantSplit/>
        </w:trPr>
        <w:tc>
          <w:tcPr>
            <w:tcW w:w="1368" w:type="dxa"/>
            <w:tcBorders>
              <w:top w:val="nil"/>
              <w:bottom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 xml:space="preserve">Capacity of infant kidneys to deal with the higher solute load of solid foods prior to </w:t>
            </w:r>
            <w:r w:rsidR="00B860B0">
              <w:rPr>
                <w:rFonts w:ascii="Arial" w:hAnsi="Arial" w:cs="Arial"/>
                <w:sz w:val="20"/>
              </w:rPr>
              <w:t>6</w:t>
            </w:r>
            <w:r w:rsidRPr="00844148">
              <w:rPr>
                <w:rFonts w:ascii="Arial" w:hAnsi="Arial" w:cs="Arial"/>
                <w:sz w:val="20"/>
              </w:rPr>
              <w:t xml:space="preserve"> months of age</w:t>
            </w:r>
          </w:p>
          <w:p w:rsidR="004B7D56" w:rsidRPr="00844148" w:rsidRDefault="004B7D56" w:rsidP="00E60C2A">
            <w:pPr>
              <w:pStyle w:val="Table2"/>
              <w:rPr>
                <w:rFonts w:ascii="Arial" w:hAnsi="Arial" w:cs="Arial"/>
                <w:sz w:val="20"/>
              </w:rPr>
            </w:pPr>
          </w:p>
        </w:tc>
        <w:tc>
          <w:tcPr>
            <w:tcW w:w="4586" w:type="dxa"/>
          </w:tcPr>
          <w:p w:rsidR="00EC3C0D" w:rsidRDefault="004B7D56" w:rsidP="00AB3CF1">
            <w:pPr>
              <w:pStyle w:val="Table2"/>
              <w:rPr>
                <w:rFonts w:ascii="Arial" w:hAnsi="Arial" w:cs="Arial"/>
                <w:sz w:val="20"/>
              </w:rPr>
            </w:pPr>
            <w:r w:rsidRPr="00844148">
              <w:rPr>
                <w:rFonts w:ascii="Arial" w:hAnsi="Arial" w:cs="Arial"/>
                <w:sz w:val="20"/>
              </w:rPr>
              <w:t>Unable to identify any studies that directly assessed changes in renal solute load or water balance with introduction of solid food, but greatest risk of negative water balance is during illness. However, the capacity of infants to reduce intake of solid foods during illness is likely to mitigate potential risk</w:t>
            </w:r>
            <w:r w:rsidR="00EC3C0D" w:rsidRPr="00844148">
              <w:rPr>
                <w:rFonts w:ascii="Arial" w:hAnsi="Arial" w:cs="Arial"/>
                <w:sz w:val="20"/>
              </w:rPr>
              <w:t>.</w:t>
            </w:r>
          </w:p>
          <w:p w:rsidR="00055B3D" w:rsidRPr="00844148" w:rsidRDefault="00055B3D" w:rsidP="00AB3CF1">
            <w:pPr>
              <w:pStyle w:val="Table2"/>
              <w:rPr>
                <w:rFonts w:ascii="Arial" w:hAnsi="Arial" w:cs="Arial"/>
                <w:sz w:val="20"/>
              </w:rPr>
            </w:pPr>
          </w:p>
        </w:tc>
      </w:tr>
      <w:tr w:rsidR="004B7D56" w:rsidRPr="00844148" w:rsidTr="00055B3D">
        <w:trPr>
          <w:cantSplit/>
        </w:trPr>
        <w:tc>
          <w:tcPr>
            <w:tcW w:w="1368" w:type="dxa"/>
            <w:tcBorders>
              <w:top w:val="nil"/>
              <w:bottom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Impact on iron and zinc status, particularly in pre-term infants</w:t>
            </w:r>
          </w:p>
          <w:p w:rsidR="004B7D56" w:rsidRPr="00844148" w:rsidRDefault="004B7D56" w:rsidP="00E60C2A">
            <w:pPr>
              <w:pStyle w:val="Table2"/>
              <w:rPr>
                <w:rFonts w:ascii="Arial" w:hAnsi="Arial" w:cs="Arial"/>
                <w:sz w:val="20"/>
              </w:rPr>
            </w:pPr>
          </w:p>
        </w:tc>
        <w:tc>
          <w:tcPr>
            <w:tcW w:w="4586" w:type="dxa"/>
          </w:tcPr>
          <w:p w:rsidR="004B7D56" w:rsidRDefault="004B7D56" w:rsidP="00AB3CF1">
            <w:pPr>
              <w:pStyle w:val="Table2"/>
              <w:rPr>
                <w:rFonts w:ascii="Arial" w:hAnsi="Arial" w:cs="Arial"/>
                <w:sz w:val="20"/>
              </w:rPr>
            </w:pPr>
            <w:r w:rsidRPr="00844148">
              <w:rPr>
                <w:rFonts w:ascii="Arial" w:hAnsi="Arial" w:cs="Arial"/>
                <w:sz w:val="20"/>
              </w:rPr>
              <w:t>Evidence from 2 studies provides some indication that exclusive breastfeeding to 6 months does not increase risk of iron deficiency at a later age. Expected that the outcomes on zinc status would be similar to, and no worse than, those for iron, as infants have a better storage of zinc compared to iron in the first 6 months of life</w:t>
            </w:r>
            <w:r w:rsidR="00EC3C0D" w:rsidRPr="00844148">
              <w:rPr>
                <w:rFonts w:ascii="Arial" w:hAnsi="Arial" w:cs="Arial"/>
                <w:sz w:val="20"/>
              </w:rPr>
              <w:t>.</w:t>
            </w:r>
          </w:p>
          <w:p w:rsidR="00055B3D" w:rsidRPr="00844148" w:rsidRDefault="00055B3D" w:rsidP="00AB3CF1">
            <w:pPr>
              <w:pStyle w:val="Table2"/>
              <w:rPr>
                <w:rFonts w:ascii="Arial" w:hAnsi="Arial" w:cs="Arial"/>
                <w:sz w:val="20"/>
              </w:rPr>
            </w:pPr>
          </w:p>
        </w:tc>
      </w:tr>
      <w:tr w:rsidR="004B7D56" w:rsidRPr="00844148" w:rsidTr="00055B3D">
        <w:trPr>
          <w:cantSplit/>
        </w:trPr>
        <w:tc>
          <w:tcPr>
            <w:tcW w:w="1368" w:type="dxa"/>
            <w:tcBorders>
              <w:top w:val="nil"/>
              <w:bottom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Influence of feeding practices in infancy on later food preferences</w:t>
            </w:r>
          </w:p>
        </w:tc>
        <w:tc>
          <w:tcPr>
            <w:tcW w:w="4586" w:type="dxa"/>
          </w:tcPr>
          <w:p w:rsidR="00EC3C0D" w:rsidRDefault="004B7D56" w:rsidP="00AB3CF1">
            <w:pPr>
              <w:pStyle w:val="Table2"/>
              <w:rPr>
                <w:rFonts w:ascii="Arial" w:hAnsi="Arial" w:cs="Arial"/>
                <w:sz w:val="20"/>
              </w:rPr>
            </w:pPr>
            <w:r w:rsidRPr="00844148">
              <w:rPr>
                <w:rFonts w:ascii="Arial" w:hAnsi="Arial" w:cs="Arial"/>
                <w:sz w:val="20"/>
              </w:rPr>
              <w:t xml:space="preserve">Emerging evidence suggesting that the timing of solid food introduction can influence later dietary outcomes and preferences, but it is too early to draw conclusions about the </w:t>
            </w:r>
            <w:r w:rsidR="001B6A1B" w:rsidRPr="00844148">
              <w:rPr>
                <w:rFonts w:ascii="Arial" w:hAnsi="Arial" w:cs="Arial"/>
                <w:sz w:val="20"/>
              </w:rPr>
              <w:t xml:space="preserve">effect </w:t>
            </w:r>
            <w:r w:rsidRPr="00844148">
              <w:rPr>
                <w:rFonts w:ascii="Arial" w:hAnsi="Arial" w:cs="Arial"/>
                <w:sz w:val="20"/>
              </w:rPr>
              <w:t>this might have on recommended infant feeding practices</w:t>
            </w:r>
            <w:r w:rsidR="00EC3C0D" w:rsidRPr="00844148">
              <w:rPr>
                <w:rFonts w:ascii="Arial" w:hAnsi="Arial" w:cs="Arial"/>
                <w:sz w:val="20"/>
              </w:rPr>
              <w:t>.</w:t>
            </w:r>
          </w:p>
          <w:p w:rsidR="00055B3D" w:rsidRPr="00844148" w:rsidRDefault="00055B3D" w:rsidP="00AB3CF1">
            <w:pPr>
              <w:pStyle w:val="Table2"/>
              <w:rPr>
                <w:rFonts w:ascii="Arial" w:hAnsi="Arial" w:cs="Arial"/>
                <w:sz w:val="20"/>
              </w:rPr>
            </w:pPr>
          </w:p>
        </w:tc>
      </w:tr>
      <w:tr w:rsidR="004B7D56" w:rsidRPr="00844148" w:rsidTr="00055B3D">
        <w:trPr>
          <w:cantSplit/>
        </w:trPr>
        <w:tc>
          <w:tcPr>
            <w:tcW w:w="1368" w:type="dxa"/>
            <w:tcBorders>
              <w:top w:val="nil"/>
              <w:bottom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Risk of allergy and other immune-mediated diseases</w:t>
            </w:r>
          </w:p>
        </w:tc>
        <w:tc>
          <w:tcPr>
            <w:tcW w:w="4586" w:type="dxa"/>
          </w:tcPr>
          <w:p w:rsidR="004B7D56" w:rsidRDefault="004B7D56" w:rsidP="00E60C2A">
            <w:pPr>
              <w:pStyle w:val="Table2"/>
              <w:rPr>
                <w:rFonts w:ascii="Arial" w:hAnsi="Arial" w:cs="Arial"/>
                <w:sz w:val="20"/>
              </w:rPr>
            </w:pPr>
            <w:r w:rsidRPr="00844148">
              <w:rPr>
                <w:rFonts w:ascii="Arial" w:hAnsi="Arial" w:cs="Arial"/>
                <w:sz w:val="20"/>
              </w:rPr>
              <w:t>Evidence regarding the timing of the introduction of solids and risk of allergy and other immune-mediated diseases, such as coeliac disease and Type 1 diabetes, is emerging and no firm conclusions can be drawn at this time. However, preliminary indications are that the risk of allergy may be minimised if breastfeeding is maintained throughout the period of introducing solids, whereas the risk may increase if the introduction of solids is delayed beyond 7 months</w:t>
            </w:r>
          </w:p>
          <w:p w:rsidR="00055B3D" w:rsidRPr="00844148" w:rsidRDefault="00055B3D" w:rsidP="00E60C2A">
            <w:pPr>
              <w:pStyle w:val="Table2"/>
              <w:rPr>
                <w:rFonts w:ascii="Arial" w:hAnsi="Arial" w:cs="Arial"/>
                <w:sz w:val="20"/>
              </w:rPr>
            </w:pPr>
          </w:p>
        </w:tc>
      </w:tr>
      <w:tr w:rsidR="004B7D56" w:rsidRPr="00844148" w:rsidTr="00055B3D">
        <w:trPr>
          <w:cantSplit/>
        </w:trPr>
        <w:tc>
          <w:tcPr>
            <w:tcW w:w="1368" w:type="dxa"/>
            <w:tcBorders>
              <w:top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EE5E57" w:rsidP="00E60C2A">
            <w:pPr>
              <w:pStyle w:val="Table2"/>
              <w:rPr>
                <w:rFonts w:ascii="Arial" w:hAnsi="Arial" w:cs="Arial"/>
                <w:b/>
                <w:sz w:val="20"/>
              </w:rPr>
            </w:pPr>
            <w:r w:rsidRPr="00844148">
              <w:rPr>
                <w:rFonts w:ascii="Arial" w:hAnsi="Arial" w:cs="Arial"/>
                <w:b/>
                <w:sz w:val="20"/>
              </w:rPr>
              <w:t>Conclusion</w:t>
            </w:r>
          </w:p>
        </w:tc>
        <w:tc>
          <w:tcPr>
            <w:tcW w:w="4586" w:type="dxa"/>
          </w:tcPr>
          <w:p w:rsidR="00EC3C0D" w:rsidRDefault="004B7D56" w:rsidP="00AB3CF1">
            <w:pPr>
              <w:pStyle w:val="Table2"/>
              <w:rPr>
                <w:rFonts w:ascii="Arial" w:hAnsi="Arial" w:cs="Arial"/>
                <w:b/>
                <w:sz w:val="20"/>
              </w:rPr>
            </w:pPr>
            <w:r w:rsidRPr="00844148">
              <w:rPr>
                <w:rFonts w:ascii="Arial" w:hAnsi="Arial" w:cs="Arial"/>
                <w:b/>
                <w:sz w:val="20"/>
              </w:rPr>
              <w:t xml:space="preserve">Delaying introduction of solid foods to </w:t>
            </w:r>
            <w:r w:rsidR="001003C0" w:rsidRPr="00844148">
              <w:rPr>
                <w:rFonts w:ascii="Arial" w:hAnsi="Arial" w:cs="Arial"/>
                <w:b/>
                <w:sz w:val="20"/>
              </w:rPr>
              <w:t>‘</w:t>
            </w:r>
            <w:r w:rsidRPr="00844148">
              <w:rPr>
                <w:rFonts w:ascii="Arial" w:hAnsi="Arial" w:cs="Arial"/>
                <w:b/>
                <w:sz w:val="20"/>
              </w:rPr>
              <w:t>around 6 months</w:t>
            </w:r>
            <w:r w:rsidR="001003C0" w:rsidRPr="00844148">
              <w:rPr>
                <w:rFonts w:ascii="Arial" w:hAnsi="Arial" w:cs="Arial"/>
                <w:b/>
                <w:sz w:val="20"/>
              </w:rPr>
              <w:t>’</w:t>
            </w:r>
            <w:r w:rsidRPr="00844148">
              <w:rPr>
                <w:rFonts w:ascii="Arial" w:hAnsi="Arial" w:cs="Arial"/>
                <w:b/>
                <w:sz w:val="20"/>
              </w:rPr>
              <w:t xml:space="preserve"> of age is unlikely to have any discernible positive or negative effect on the nutritional or developmental outcomes of infants.</w:t>
            </w:r>
          </w:p>
          <w:p w:rsidR="00055B3D" w:rsidRPr="00844148" w:rsidRDefault="00055B3D" w:rsidP="00AB3CF1">
            <w:pPr>
              <w:pStyle w:val="Table2"/>
              <w:rPr>
                <w:rFonts w:ascii="Arial" w:hAnsi="Arial" w:cs="Arial"/>
                <w:b/>
                <w:sz w:val="20"/>
              </w:rPr>
            </w:pPr>
          </w:p>
        </w:tc>
      </w:tr>
      <w:tr w:rsidR="004B7D56" w:rsidRPr="00844148" w:rsidTr="00055B3D">
        <w:trPr>
          <w:cantSplit/>
        </w:trPr>
        <w:tc>
          <w:tcPr>
            <w:tcW w:w="1368" w:type="dxa"/>
          </w:tcPr>
          <w:p w:rsidR="004B7D56" w:rsidRPr="00844148" w:rsidRDefault="004B7D56" w:rsidP="00055B3D">
            <w:pPr>
              <w:pStyle w:val="Table2"/>
              <w:keepNext/>
              <w:rPr>
                <w:rFonts w:ascii="Arial" w:hAnsi="Arial" w:cs="Arial"/>
                <w:b/>
                <w:sz w:val="20"/>
              </w:rPr>
            </w:pPr>
            <w:r w:rsidRPr="00844148">
              <w:rPr>
                <w:rFonts w:ascii="Arial" w:hAnsi="Arial" w:cs="Arial"/>
                <w:b/>
                <w:sz w:val="20"/>
              </w:rPr>
              <w:lastRenderedPageBreak/>
              <w:t>October 2013</w:t>
            </w:r>
          </w:p>
        </w:tc>
        <w:tc>
          <w:tcPr>
            <w:tcW w:w="3510" w:type="dxa"/>
          </w:tcPr>
          <w:p w:rsidR="00EC3C0D" w:rsidRDefault="004B7D56" w:rsidP="00AB3CF1">
            <w:pPr>
              <w:pStyle w:val="Table2"/>
              <w:rPr>
                <w:rFonts w:ascii="Arial" w:hAnsi="Arial" w:cs="Arial"/>
                <w:sz w:val="20"/>
              </w:rPr>
            </w:pPr>
            <w:r w:rsidRPr="00844148">
              <w:rPr>
                <w:rFonts w:ascii="Arial" w:hAnsi="Arial" w:cs="Arial"/>
                <w:sz w:val="20"/>
              </w:rPr>
              <w:t>Risk of iron and zinc deficiencies in preterm infants with delayed introduction of solids</w:t>
            </w:r>
          </w:p>
          <w:p w:rsidR="00055B3D" w:rsidRPr="00844148" w:rsidRDefault="00055B3D" w:rsidP="00AB3CF1">
            <w:pPr>
              <w:pStyle w:val="Table2"/>
              <w:rPr>
                <w:rFonts w:ascii="Arial" w:hAnsi="Arial" w:cs="Arial"/>
                <w:sz w:val="20"/>
              </w:rPr>
            </w:pPr>
          </w:p>
        </w:tc>
        <w:tc>
          <w:tcPr>
            <w:tcW w:w="4586" w:type="dxa"/>
          </w:tcPr>
          <w:p w:rsidR="004B7D56" w:rsidRPr="00844148" w:rsidRDefault="004B7D56" w:rsidP="00AB3CF1">
            <w:pPr>
              <w:pStyle w:val="Table2"/>
              <w:rPr>
                <w:rFonts w:ascii="Arial" w:hAnsi="Arial" w:cs="Arial"/>
                <w:sz w:val="20"/>
              </w:rPr>
            </w:pPr>
            <w:r w:rsidRPr="00844148">
              <w:rPr>
                <w:rFonts w:ascii="Arial" w:hAnsi="Arial" w:cs="Arial"/>
                <w:sz w:val="20"/>
              </w:rPr>
              <w:t>Unable to identify any studies addressing this</w:t>
            </w:r>
            <w:r w:rsidR="00AB3CF1" w:rsidRPr="00844148">
              <w:rPr>
                <w:rFonts w:ascii="Arial" w:hAnsi="Arial" w:cs="Arial"/>
                <w:sz w:val="20"/>
              </w:rPr>
              <w:t xml:space="preserve"> question.</w:t>
            </w:r>
          </w:p>
        </w:tc>
      </w:tr>
      <w:tr w:rsidR="004B7D56" w:rsidRPr="00844148" w:rsidTr="00055B3D">
        <w:trPr>
          <w:cantSplit/>
        </w:trPr>
        <w:tc>
          <w:tcPr>
            <w:tcW w:w="1368" w:type="dxa"/>
            <w:tcBorders>
              <w:bottom w:val="single" w:sz="4" w:space="0" w:color="000000"/>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Allergy risk – &lt;4 completed months (~17 weeks of age)</w:t>
            </w:r>
          </w:p>
        </w:tc>
        <w:tc>
          <w:tcPr>
            <w:tcW w:w="4586" w:type="dxa"/>
          </w:tcPr>
          <w:p w:rsidR="00EC3C0D" w:rsidRDefault="004B7D56" w:rsidP="00B860B0">
            <w:pPr>
              <w:pStyle w:val="Table2"/>
              <w:rPr>
                <w:rFonts w:ascii="Arial" w:hAnsi="Arial" w:cs="Arial"/>
                <w:sz w:val="20"/>
              </w:rPr>
            </w:pPr>
            <w:r w:rsidRPr="00844148">
              <w:rPr>
                <w:rFonts w:ascii="Arial" w:hAnsi="Arial" w:cs="Arial"/>
                <w:sz w:val="20"/>
              </w:rPr>
              <w:t xml:space="preserve">Allergy risk appears to be associated with solid foods introduced at &lt;4 months. This association, combined with evidence that risk of infectious morbidity is also increased with this time period (as related to the protective effects of breastfeeding), supports the current recommendations from ESPGHAN, EFSA, and NHMRC (see </w:t>
            </w:r>
            <w:r w:rsidR="00B860B0">
              <w:rPr>
                <w:rFonts w:ascii="Arial" w:hAnsi="Arial" w:cs="Arial"/>
                <w:sz w:val="20"/>
              </w:rPr>
              <w:t>SD1</w:t>
            </w:r>
            <w:r w:rsidRPr="00844148">
              <w:rPr>
                <w:rFonts w:ascii="Arial" w:hAnsi="Arial" w:cs="Arial"/>
                <w:sz w:val="20"/>
              </w:rPr>
              <w:t xml:space="preserve">) that from 4 months of age is the appropriate </w:t>
            </w:r>
            <w:r w:rsidR="003A3014" w:rsidRPr="00844148">
              <w:rPr>
                <w:rFonts w:ascii="Arial" w:hAnsi="Arial" w:cs="Arial"/>
                <w:sz w:val="20"/>
              </w:rPr>
              <w:t xml:space="preserve">minimum </w:t>
            </w:r>
            <w:r w:rsidRPr="00844148">
              <w:rPr>
                <w:rFonts w:ascii="Arial" w:hAnsi="Arial" w:cs="Arial"/>
                <w:sz w:val="20"/>
              </w:rPr>
              <w:t>age at which solid foods should be introduced.</w:t>
            </w:r>
          </w:p>
          <w:p w:rsidR="00055B3D" w:rsidRPr="00844148" w:rsidRDefault="00055B3D" w:rsidP="00B860B0">
            <w:pPr>
              <w:pStyle w:val="Table2"/>
              <w:rPr>
                <w:rFonts w:ascii="Arial" w:hAnsi="Arial" w:cs="Arial"/>
                <w:sz w:val="20"/>
              </w:rPr>
            </w:pPr>
          </w:p>
        </w:tc>
      </w:tr>
      <w:tr w:rsidR="004B7D56" w:rsidRPr="00844148" w:rsidTr="00055B3D">
        <w:trPr>
          <w:cantSplit/>
        </w:trPr>
        <w:tc>
          <w:tcPr>
            <w:tcW w:w="1368" w:type="dxa"/>
            <w:tcBorders>
              <w:bottom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Allergy risk – 7months or above</w:t>
            </w:r>
          </w:p>
        </w:tc>
        <w:tc>
          <w:tcPr>
            <w:tcW w:w="4586" w:type="dxa"/>
          </w:tcPr>
          <w:p w:rsidR="00EC3C0D" w:rsidRDefault="004B7D56" w:rsidP="00AB3CF1">
            <w:pPr>
              <w:pStyle w:val="Table2"/>
              <w:rPr>
                <w:rFonts w:ascii="Arial" w:hAnsi="Arial" w:cs="Arial"/>
                <w:sz w:val="20"/>
              </w:rPr>
            </w:pPr>
            <w:r w:rsidRPr="00844148">
              <w:rPr>
                <w:rFonts w:ascii="Arial" w:hAnsi="Arial" w:cs="Arial"/>
                <w:sz w:val="20"/>
              </w:rPr>
              <w:t>Since 2008, there is increasing evidence that the timing of solid food introduction may be related to the development of food-related allergy. Critical period to minimise the risk of allergy development seems to be between 4 and &lt;7 months. However, because of unclear and inconsistent definitions of age categories, measurement bias in many studies and the contribution of various other factors in the development of allergic disease, the evidence is not conclusive.</w:t>
            </w:r>
          </w:p>
          <w:p w:rsidR="00055B3D" w:rsidRPr="00844148" w:rsidRDefault="00055B3D" w:rsidP="00AB3CF1">
            <w:pPr>
              <w:pStyle w:val="Table2"/>
              <w:rPr>
                <w:rFonts w:ascii="Arial" w:hAnsi="Arial" w:cs="Arial"/>
                <w:sz w:val="20"/>
              </w:rPr>
            </w:pPr>
          </w:p>
        </w:tc>
      </w:tr>
      <w:tr w:rsidR="004B7D56" w:rsidRPr="00844148" w:rsidTr="00055B3D">
        <w:trPr>
          <w:cantSplit/>
        </w:trPr>
        <w:tc>
          <w:tcPr>
            <w:tcW w:w="1368" w:type="dxa"/>
            <w:tcBorders>
              <w:top w:val="nil"/>
              <w:bottom w:val="single" w:sz="4" w:space="0" w:color="000000"/>
            </w:tcBorders>
          </w:tcPr>
          <w:p w:rsidR="004B7D56" w:rsidRPr="00844148" w:rsidRDefault="004B7D56" w:rsidP="00E60C2A">
            <w:pPr>
              <w:pStyle w:val="Table2"/>
              <w:rPr>
                <w:rFonts w:ascii="Arial" w:hAnsi="Arial" w:cs="Arial"/>
                <w:sz w:val="20"/>
              </w:rPr>
            </w:pPr>
          </w:p>
        </w:tc>
        <w:tc>
          <w:tcPr>
            <w:tcW w:w="3510" w:type="dxa"/>
          </w:tcPr>
          <w:p w:rsidR="004B7D56" w:rsidRPr="00844148" w:rsidRDefault="00EE5E57" w:rsidP="00E60C2A">
            <w:pPr>
              <w:pStyle w:val="Table2"/>
              <w:rPr>
                <w:rFonts w:ascii="Arial" w:hAnsi="Arial" w:cs="Arial"/>
                <w:b/>
                <w:sz w:val="20"/>
              </w:rPr>
            </w:pPr>
            <w:r w:rsidRPr="00844148">
              <w:rPr>
                <w:rFonts w:ascii="Arial" w:hAnsi="Arial" w:cs="Arial"/>
                <w:b/>
                <w:sz w:val="20"/>
              </w:rPr>
              <w:t>Conclusion</w:t>
            </w:r>
          </w:p>
        </w:tc>
        <w:tc>
          <w:tcPr>
            <w:tcW w:w="4586" w:type="dxa"/>
          </w:tcPr>
          <w:p w:rsidR="00EC3C0D" w:rsidRDefault="004B7D56" w:rsidP="00AB3CF1">
            <w:pPr>
              <w:pStyle w:val="Table2"/>
              <w:rPr>
                <w:rFonts w:ascii="Arial" w:hAnsi="Arial" w:cs="Arial"/>
                <w:b/>
                <w:sz w:val="20"/>
              </w:rPr>
            </w:pPr>
            <w:r w:rsidRPr="00844148">
              <w:rPr>
                <w:rFonts w:ascii="Arial" w:hAnsi="Arial" w:cs="Arial"/>
                <w:b/>
                <w:sz w:val="20"/>
              </w:rPr>
              <w:t xml:space="preserve">‘Around 6 months’ as the appropriate age for the introduction of solid food to infants would have minimal effect on the risk of adverse health outcomes, </w:t>
            </w:r>
            <w:r w:rsidR="00A86B4C" w:rsidRPr="00844148">
              <w:rPr>
                <w:rFonts w:ascii="Arial" w:hAnsi="Arial" w:cs="Arial"/>
                <w:b/>
                <w:sz w:val="20"/>
              </w:rPr>
              <w:t xml:space="preserve">relative </w:t>
            </w:r>
            <w:r w:rsidRPr="00844148">
              <w:rPr>
                <w:rFonts w:ascii="Arial" w:hAnsi="Arial" w:cs="Arial"/>
                <w:b/>
                <w:sz w:val="20"/>
              </w:rPr>
              <w:t>to ‘from 4 months’ of age</w:t>
            </w:r>
            <w:r w:rsidR="00A86B4C" w:rsidRPr="00844148">
              <w:rPr>
                <w:rFonts w:ascii="Arial" w:hAnsi="Arial" w:cs="Arial"/>
                <w:b/>
                <w:sz w:val="20"/>
              </w:rPr>
              <w:t>.</w:t>
            </w:r>
          </w:p>
          <w:p w:rsidR="00055B3D" w:rsidRPr="00844148" w:rsidRDefault="00055B3D" w:rsidP="00AB3CF1">
            <w:pPr>
              <w:pStyle w:val="Table2"/>
              <w:rPr>
                <w:rFonts w:ascii="Arial" w:hAnsi="Arial" w:cs="Arial"/>
                <w:b/>
                <w:sz w:val="20"/>
              </w:rPr>
            </w:pPr>
          </w:p>
        </w:tc>
      </w:tr>
      <w:tr w:rsidR="004B7D56" w:rsidRPr="00844148" w:rsidTr="00055B3D">
        <w:trPr>
          <w:cantSplit/>
        </w:trPr>
        <w:tc>
          <w:tcPr>
            <w:tcW w:w="1368" w:type="dxa"/>
            <w:tcBorders>
              <w:bottom w:val="nil"/>
            </w:tcBorders>
          </w:tcPr>
          <w:p w:rsidR="004B7D56" w:rsidRPr="00844148" w:rsidRDefault="004B7D56" w:rsidP="00055B3D">
            <w:pPr>
              <w:pStyle w:val="Table2"/>
              <w:keepNext/>
              <w:rPr>
                <w:rFonts w:ascii="Arial" w:hAnsi="Arial" w:cs="Arial"/>
                <w:b/>
                <w:sz w:val="20"/>
              </w:rPr>
            </w:pPr>
            <w:r w:rsidRPr="00844148">
              <w:rPr>
                <w:rFonts w:ascii="Arial" w:hAnsi="Arial" w:cs="Arial"/>
                <w:b/>
                <w:sz w:val="20"/>
              </w:rPr>
              <w:t>January 2014</w:t>
            </w: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Proportion of infants being introduced to solids at &lt;4 months</w:t>
            </w:r>
          </w:p>
        </w:tc>
        <w:tc>
          <w:tcPr>
            <w:tcW w:w="4586" w:type="dxa"/>
          </w:tcPr>
          <w:p w:rsidR="00EC3C0D" w:rsidRDefault="00DF070F" w:rsidP="00CA1D37">
            <w:pPr>
              <w:pStyle w:val="Table2"/>
              <w:rPr>
                <w:rFonts w:ascii="Arial" w:hAnsi="Arial" w:cs="Arial"/>
                <w:sz w:val="20"/>
              </w:rPr>
            </w:pPr>
            <w:r w:rsidRPr="00844148">
              <w:rPr>
                <w:rFonts w:ascii="Arial" w:hAnsi="Arial" w:cs="Arial"/>
                <w:sz w:val="20"/>
              </w:rPr>
              <w:t xml:space="preserve">The Australian national average proportion of infants who </w:t>
            </w:r>
            <w:r w:rsidR="00CA1D37" w:rsidRPr="00844148">
              <w:rPr>
                <w:rFonts w:ascii="Arial" w:hAnsi="Arial" w:cs="Arial"/>
                <w:sz w:val="20"/>
              </w:rPr>
              <w:t>were</w:t>
            </w:r>
            <w:r w:rsidRPr="00844148">
              <w:rPr>
                <w:rFonts w:ascii="Arial" w:hAnsi="Arial" w:cs="Arial"/>
                <w:sz w:val="20"/>
              </w:rPr>
              <w:t xml:space="preserve"> receiving solids before 4 completed months of age was 4–10%, noting that within this range there was some variation according to maternal age and SES</w:t>
            </w:r>
            <w:r w:rsidR="00CA1D37" w:rsidRPr="00844148">
              <w:rPr>
                <w:rFonts w:ascii="Arial" w:hAnsi="Arial" w:cs="Arial"/>
                <w:sz w:val="20"/>
              </w:rPr>
              <w:t xml:space="preserve"> (2010 Infant Feeding Survey)</w:t>
            </w:r>
            <w:r w:rsidRPr="00844148">
              <w:rPr>
                <w:rFonts w:ascii="Arial" w:hAnsi="Arial" w:cs="Arial"/>
                <w:sz w:val="20"/>
              </w:rPr>
              <w:t xml:space="preserve">. New Zealand data (2011/12) indicates that the proportion of infants introduced to solids before 4 months was 10%, which </w:t>
            </w:r>
            <w:r w:rsidR="00CA1D37" w:rsidRPr="00844148">
              <w:rPr>
                <w:rFonts w:ascii="Arial" w:hAnsi="Arial" w:cs="Arial"/>
                <w:sz w:val="20"/>
              </w:rPr>
              <w:t xml:space="preserve">was </w:t>
            </w:r>
            <w:r w:rsidRPr="00844148">
              <w:rPr>
                <w:rFonts w:ascii="Arial" w:hAnsi="Arial" w:cs="Arial"/>
                <w:sz w:val="20"/>
              </w:rPr>
              <w:t>lower than previous survey (2006/07) of 16%.</w:t>
            </w:r>
          </w:p>
          <w:p w:rsidR="00055B3D" w:rsidRPr="00844148" w:rsidRDefault="00055B3D" w:rsidP="00CA1D37">
            <w:pPr>
              <w:pStyle w:val="Table2"/>
              <w:rPr>
                <w:rFonts w:ascii="Arial" w:hAnsi="Arial" w:cs="Arial"/>
                <w:sz w:val="20"/>
              </w:rPr>
            </w:pPr>
          </w:p>
        </w:tc>
      </w:tr>
      <w:tr w:rsidR="004B7D56" w:rsidRPr="00844148" w:rsidTr="00055B3D">
        <w:trPr>
          <w:cantSplit/>
        </w:trPr>
        <w:tc>
          <w:tcPr>
            <w:tcW w:w="1368" w:type="dxa"/>
            <w:tcBorders>
              <w:top w:val="nil"/>
              <w:bottom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Introduction of solids and cessation of breast feeding</w:t>
            </w:r>
          </w:p>
        </w:tc>
        <w:tc>
          <w:tcPr>
            <w:tcW w:w="4586" w:type="dxa"/>
          </w:tcPr>
          <w:p w:rsidR="00EC3C0D" w:rsidRDefault="004B7D56" w:rsidP="006D1E41">
            <w:pPr>
              <w:pStyle w:val="Table2"/>
              <w:rPr>
                <w:rFonts w:ascii="Arial" w:hAnsi="Arial" w:cs="Arial"/>
                <w:sz w:val="20"/>
              </w:rPr>
            </w:pPr>
            <w:r w:rsidRPr="00844148">
              <w:rPr>
                <w:rFonts w:ascii="Arial" w:hAnsi="Arial" w:cs="Arial"/>
                <w:sz w:val="20"/>
              </w:rPr>
              <w:t>Data on infant feeding practices in Australia indicate there is little association between the introduction of solid foods and continuation</w:t>
            </w:r>
            <w:r w:rsidR="006D1E41" w:rsidRPr="00844148">
              <w:rPr>
                <w:rFonts w:ascii="Arial" w:hAnsi="Arial" w:cs="Arial"/>
                <w:sz w:val="20"/>
              </w:rPr>
              <w:t xml:space="preserve"> of</w:t>
            </w:r>
            <w:r w:rsidR="00DB2523" w:rsidRPr="00844148">
              <w:rPr>
                <w:rFonts w:ascii="Arial" w:hAnsi="Arial" w:cs="Arial"/>
                <w:sz w:val="20"/>
              </w:rPr>
              <w:t xml:space="preserve"> </w:t>
            </w:r>
            <w:r w:rsidRPr="00844148">
              <w:rPr>
                <w:rFonts w:ascii="Arial" w:hAnsi="Arial" w:cs="Arial"/>
                <w:sz w:val="20"/>
              </w:rPr>
              <w:t xml:space="preserve">breastfeeding. Between 4–6 months of age, the prevalence of any breastfeeding </w:t>
            </w:r>
            <w:r w:rsidR="006D1E41" w:rsidRPr="00844148">
              <w:rPr>
                <w:rFonts w:ascii="Arial" w:hAnsi="Arial" w:cs="Arial"/>
                <w:sz w:val="20"/>
              </w:rPr>
              <w:t xml:space="preserve">declined </w:t>
            </w:r>
            <w:r w:rsidRPr="00844148">
              <w:rPr>
                <w:rFonts w:ascii="Arial" w:hAnsi="Arial" w:cs="Arial"/>
                <w:sz w:val="20"/>
              </w:rPr>
              <w:t xml:space="preserve">from 69% to 60% while the prevalence of feeding solids </w:t>
            </w:r>
            <w:r w:rsidR="006D1E41" w:rsidRPr="00844148">
              <w:rPr>
                <w:rFonts w:ascii="Arial" w:hAnsi="Arial" w:cs="Arial"/>
                <w:sz w:val="20"/>
              </w:rPr>
              <w:t xml:space="preserve">rose </w:t>
            </w:r>
            <w:r w:rsidRPr="00844148">
              <w:rPr>
                <w:rFonts w:ascii="Arial" w:hAnsi="Arial" w:cs="Arial"/>
                <w:sz w:val="20"/>
              </w:rPr>
              <w:t xml:space="preserve">from around 10% to over 90%. Similarly, before 4 months of age, the decline in prevalence of breastfeeding </w:t>
            </w:r>
            <w:r w:rsidR="006D1E41" w:rsidRPr="00844148">
              <w:rPr>
                <w:rFonts w:ascii="Arial" w:hAnsi="Arial" w:cs="Arial"/>
                <w:sz w:val="20"/>
              </w:rPr>
              <w:t xml:space="preserve">was </w:t>
            </w:r>
            <w:r w:rsidRPr="00844148">
              <w:rPr>
                <w:rFonts w:ascii="Arial" w:hAnsi="Arial" w:cs="Arial"/>
                <w:sz w:val="20"/>
              </w:rPr>
              <w:t>double the prevalence of introducing solids</w:t>
            </w:r>
            <w:r w:rsidR="006D1E41" w:rsidRPr="00844148">
              <w:rPr>
                <w:rFonts w:ascii="Arial" w:hAnsi="Arial" w:cs="Arial"/>
                <w:sz w:val="20"/>
              </w:rPr>
              <w:t xml:space="preserve"> (2010 Infant Feeding Survey)</w:t>
            </w:r>
            <w:r w:rsidRPr="00844148">
              <w:rPr>
                <w:rFonts w:ascii="Arial" w:hAnsi="Arial" w:cs="Arial"/>
                <w:sz w:val="20"/>
              </w:rPr>
              <w:t>.</w:t>
            </w:r>
          </w:p>
          <w:p w:rsidR="00055B3D" w:rsidRPr="00844148" w:rsidRDefault="00055B3D" w:rsidP="006D1E41">
            <w:pPr>
              <w:pStyle w:val="Table2"/>
              <w:rPr>
                <w:rFonts w:ascii="Arial" w:hAnsi="Arial" w:cs="Arial"/>
                <w:sz w:val="20"/>
              </w:rPr>
            </w:pPr>
          </w:p>
        </w:tc>
      </w:tr>
      <w:tr w:rsidR="004B7D56" w:rsidRPr="00844148" w:rsidTr="00055B3D">
        <w:trPr>
          <w:cantSplit/>
        </w:trPr>
        <w:tc>
          <w:tcPr>
            <w:tcW w:w="1368" w:type="dxa"/>
            <w:tcBorders>
              <w:top w:val="nil"/>
              <w:bottom w:val="single" w:sz="4" w:space="0" w:color="000000"/>
            </w:tcBorders>
          </w:tcPr>
          <w:p w:rsidR="004B7D56" w:rsidRPr="00844148" w:rsidRDefault="004B7D56" w:rsidP="00E60C2A">
            <w:pPr>
              <w:pStyle w:val="Table2"/>
              <w:rPr>
                <w:rFonts w:ascii="Arial" w:hAnsi="Arial" w:cs="Arial"/>
                <w:sz w:val="20"/>
              </w:rPr>
            </w:pPr>
          </w:p>
        </w:tc>
        <w:tc>
          <w:tcPr>
            <w:tcW w:w="3510" w:type="dxa"/>
          </w:tcPr>
          <w:p w:rsidR="004B7D56" w:rsidRPr="00844148" w:rsidRDefault="00EE5E57" w:rsidP="00E60C2A">
            <w:pPr>
              <w:pStyle w:val="Table2"/>
              <w:rPr>
                <w:rFonts w:ascii="Arial" w:hAnsi="Arial" w:cs="Arial"/>
                <w:b/>
                <w:sz w:val="20"/>
              </w:rPr>
            </w:pPr>
            <w:r w:rsidRPr="00844148">
              <w:rPr>
                <w:rFonts w:ascii="Arial" w:hAnsi="Arial" w:cs="Arial"/>
                <w:b/>
                <w:sz w:val="20"/>
              </w:rPr>
              <w:t>Conclusion</w:t>
            </w:r>
          </w:p>
        </w:tc>
        <w:tc>
          <w:tcPr>
            <w:tcW w:w="4586" w:type="dxa"/>
          </w:tcPr>
          <w:p w:rsidR="00EC3C0D" w:rsidRDefault="004B7D56" w:rsidP="00B860B0">
            <w:pPr>
              <w:pStyle w:val="Table2"/>
              <w:rPr>
                <w:rFonts w:ascii="Arial" w:hAnsi="Arial" w:cs="Arial"/>
                <w:b/>
                <w:sz w:val="20"/>
              </w:rPr>
            </w:pPr>
            <w:r w:rsidRPr="00844148">
              <w:rPr>
                <w:rFonts w:ascii="Arial" w:hAnsi="Arial" w:cs="Arial"/>
                <w:b/>
                <w:sz w:val="20"/>
              </w:rPr>
              <w:t xml:space="preserve">Current evidence indicates that in developed countries with generally hygienically prepared foods, there is no </w:t>
            </w:r>
            <w:r w:rsidR="002D3698" w:rsidRPr="00844148">
              <w:rPr>
                <w:rFonts w:ascii="Arial" w:hAnsi="Arial" w:cs="Arial"/>
                <w:b/>
                <w:sz w:val="20"/>
              </w:rPr>
              <w:t xml:space="preserve">additional </w:t>
            </w:r>
            <w:r w:rsidR="001B29CB" w:rsidRPr="00844148">
              <w:rPr>
                <w:rFonts w:ascii="Arial" w:hAnsi="Arial" w:cs="Arial"/>
                <w:b/>
                <w:sz w:val="20"/>
              </w:rPr>
              <w:t xml:space="preserve"> in </w:t>
            </w:r>
            <w:r w:rsidRPr="00844148">
              <w:rPr>
                <w:rFonts w:ascii="Arial" w:hAnsi="Arial" w:cs="Arial"/>
                <w:b/>
                <w:sz w:val="20"/>
              </w:rPr>
              <w:t>risk from delaying introduction of solids until around 6 months or, conversely, from introducing solids closer to the 4</w:t>
            </w:r>
            <w:r w:rsidR="00B860B0">
              <w:rPr>
                <w:rFonts w:ascii="Arial" w:hAnsi="Arial" w:cs="Arial"/>
                <w:b/>
                <w:sz w:val="20"/>
              </w:rPr>
              <w:t>-</w:t>
            </w:r>
            <w:r w:rsidRPr="00844148">
              <w:rPr>
                <w:rFonts w:ascii="Arial" w:hAnsi="Arial" w:cs="Arial"/>
                <w:b/>
                <w:sz w:val="20"/>
              </w:rPr>
              <w:t>month end of the window</w:t>
            </w:r>
            <w:r w:rsidR="00DF070F" w:rsidRPr="00844148">
              <w:rPr>
                <w:rFonts w:ascii="Arial" w:hAnsi="Arial" w:cs="Arial"/>
                <w:b/>
                <w:sz w:val="20"/>
              </w:rPr>
              <w:t xml:space="preserve"> </w:t>
            </w:r>
            <w:r w:rsidR="00DF070F" w:rsidRPr="00844148">
              <w:rPr>
                <w:rFonts w:ascii="Arial" w:hAnsi="Arial" w:cs="Arial"/>
                <w:sz w:val="20"/>
              </w:rPr>
              <w:t>between 4 and &lt;7 months</w:t>
            </w:r>
            <w:r w:rsidR="00AB3CF1" w:rsidRPr="00844148">
              <w:rPr>
                <w:rFonts w:ascii="Arial" w:hAnsi="Arial" w:cs="Arial"/>
                <w:b/>
                <w:sz w:val="20"/>
              </w:rPr>
              <w:t>.</w:t>
            </w:r>
          </w:p>
          <w:p w:rsidR="00055B3D" w:rsidRPr="00844148" w:rsidRDefault="00055B3D" w:rsidP="00B860B0">
            <w:pPr>
              <w:pStyle w:val="Table2"/>
              <w:rPr>
                <w:rFonts w:ascii="Arial" w:hAnsi="Arial" w:cs="Arial"/>
                <w:b/>
                <w:sz w:val="20"/>
              </w:rPr>
            </w:pPr>
          </w:p>
        </w:tc>
      </w:tr>
      <w:tr w:rsidR="004B7D56" w:rsidRPr="00844148" w:rsidTr="00055B3D">
        <w:trPr>
          <w:cantSplit/>
        </w:trPr>
        <w:tc>
          <w:tcPr>
            <w:tcW w:w="1368" w:type="dxa"/>
            <w:tcBorders>
              <w:bottom w:val="nil"/>
            </w:tcBorders>
          </w:tcPr>
          <w:p w:rsidR="004B7D56" w:rsidRPr="00844148" w:rsidRDefault="004B7D56" w:rsidP="00E60C2A">
            <w:pPr>
              <w:pStyle w:val="Table2"/>
              <w:keepNext/>
              <w:jc w:val="center"/>
              <w:rPr>
                <w:rFonts w:ascii="Arial" w:hAnsi="Arial" w:cs="Arial"/>
                <w:b/>
                <w:sz w:val="20"/>
              </w:rPr>
            </w:pPr>
            <w:r w:rsidRPr="00844148">
              <w:rPr>
                <w:rFonts w:ascii="Arial" w:hAnsi="Arial" w:cs="Arial"/>
                <w:b/>
                <w:sz w:val="20"/>
              </w:rPr>
              <w:t>July 2014</w:t>
            </w:r>
          </w:p>
        </w:tc>
        <w:tc>
          <w:tcPr>
            <w:tcW w:w="3510" w:type="dxa"/>
          </w:tcPr>
          <w:p w:rsidR="004B7D56" w:rsidRPr="00844148" w:rsidRDefault="004B7D56" w:rsidP="00E60C2A">
            <w:pPr>
              <w:pStyle w:val="Table2"/>
              <w:rPr>
                <w:rFonts w:ascii="Arial" w:hAnsi="Arial" w:cs="Arial"/>
                <w:sz w:val="20"/>
              </w:rPr>
            </w:pPr>
            <w:r w:rsidRPr="00844148">
              <w:rPr>
                <w:rFonts w:ascii="Arial" w:hAnsi="Arial" w:cs="Arial"/>
                <w:sz w:val="20"/>
              </w:rPr>
              <w:t>Gastrointestinal infection</w:t>
            </w:r>
          </w:p>
        </w:tc>
        <w:tc>
          <w:tcPr>
            <w:tcW w:w="4586" w:type="dxa"/>
          </w:tcPr>
          <w:p w:rsidR="00EC3C0D" w:rsidRDefault="002B29F7" w:rsidP="00AB3CF1">
            <w:pPr>
              <w:pStyle w:val="Table2"/>
              <w:rPr>
                <w:rFonts w:ascii="Arial" w:hAnsi="Arial" w:cs="Arial"/>
                <w:sz w:val="20"/>
              </w:rPr>
            </w:pPr>
            <w:r w:rsidRPr="00844148">
              <w:rPr>
                <w:rFonts w:ascii="Arial" w:hAnsi="Arial" w:cs="Arial"/>
                <w:sz w:val="20"/>
              </w:rPr>
              <w:t>Large UK cohort study identified no association between age of introduction of solids and hospitalisation for gastrointestinal or respiratory tract infections in the first 8 months of life.</w:t>
            </w:r>
          </w:p>
          <w:p w:rsidR="00055B3D" w:rsidRPr="00844148" w:rsidRDefault="00055B3D" w:rsidP="00AB3CF1">
            <w:pPr>
              <w:pStyle w:val="Table2"/>
              <w:rPr>
                <w:rFonts w:ascii="Arial" w:hAnsi="Arial" w:cs="Arial"/>
                <w:sz w:val="20"/>
              </w:rPr>
            </w:pPr>
          </w:p>
        </w:tc>
      </w:tr>
      <w:tr w:rsidR="004B7D56" w:rsidRPr="00844148" w:rsidTr="00055B3D">
        <w:trPr>
          <w:cantSplit/>
        </w:trPr>
        <w:tc>
          <w:tcPr>
            <w:tcW w:w="1368" w:type="dxa"/>
            <w:tcBorders>
              <w:top w:val="nil"/>
            </w:tcBorders>
          </w:tcPr>
          <w:p w:rsidR="004B7D56" w:rsidRPr="00844148" w:rsidRDefault="004B7D56" w:rsidP="00E60C2A">
            <w:pPr>
              <w:pStyle w:val="Table2"/>
              <w:rPr>
                <w:rFonts w:ascii="Arial" w:hAnsi="Arial" w:cs="Arial"/>
                <w:sz w:val="20"/>
              </w:rPr>
            </w:pPr>
          </w:p>
        </w:tc>
        <w:tc>
          <w:tcPr>
            <w:tcW w:w="3510" w:type="dxa"/>
          </w:tcPr>
          <w:p w:rsidR="004B7D56" w:rsidRPr="00844148" w:rsidRDefault="004B7D56" w:rsidP="00E60C2A">
            <w:pPr>
              <w:pStyle w:val="Table2"/>
              <w:rPr>
                <w:rFonts w:ascii="Arial" w:hAnsi="Arial" w:cs="Arial"/>
                <w:b/>
                <w:sz w:val="20"/>
              </w:rPr>
            </w:pPr>
            <w:r w:rsidRPr="00844148">
              <w:rPr>
                <w:rFonts w:ascii="Arial" w:hAnsi="Arial" w:cs="Arial"/>
                <w:b/>
                <w:sz w:val="20"/>
              </w:rPr>
              <w:t>Overall conclusion</w:t>
            </w:r>
          </w:p>
        </w:tc>
        <w:tc>
          <w:tcPr>
            <w:tcW w:w="4586" w:type="dxa"/>
          </w:tcPr>
          <w:p w:rsidR="00EC3C0D" w:rsidRDefault="004B7D56" w:rsidP="002835BD">
            <w:pPr>
              <w:pStyle w:val="Table2"/>
              <w:rPr>
                <w:rFonts w:ascii="Arial" w:hAnsi="Arial" w:cs="Arial"/>
                <w:b/>
                <w:sz w:val="20"/>
              </w:rPr>
            </w:pPr>
            <w:r w:rsidRPr="00844148">
              <w:rPr>
                <w:rFonts w:ascii="Arial" w:hAnsi="Arial" w:cs="Arial"/>
                <w:b/>
                <w:sz w:val="20"/>
              </w:rPr>
              <w:t>In Australia and New Zealand, there is no overall difference in risk between introduc</w:t>
            </w:r>
            <w:r w:rsidR="00A86B4C" w:rsidRPr="00844148">
              <w:rPr>
                <w:rFonts w:ascii="Arial" w:hAnsi="Arial" w:cs="Arial"/>
                <w:b/>
                <w:sz w:val="20"/>
              </w:rPr>
              <w:t>ing</w:t>
            </w:r>
            <w:r w:rsidRPr="00844148">
              <w:rPr>
                <w:rFonts w:ascii="Arial" w:hAnsi="Arial" w:cs="Arial"/>
                <w:b/>
                <w:sz w:val="20"/>
              </w:rPr>
              <w:t xml:space="preserve"> solids </w:t>
            </w:r>
            <w:r w:rsidR="001A2E63" w:rsidRPr="00844148">
              <w:rPr>
                <w:rFonts w:ascii="Arial" w:hAnsi="Arial" w:cs="Arial"/>
                <w:b/>
                <w:sz w:val="20"/>
              </w:rPr>
              <w:t>from</w:t>
            </w:r>
            <w:r w:rsidRPr="00844148">
              <w:rPr>
                <w:rFonts w:ascii="Arial" w:hAnsi="Arial" w:cs="Arial"/>
                <w:b/>
                <w:sz w:val="20"/>
              </w:rPr>
              <w:t xml:space="preserve"> 4 months of age</w:t>
            </w:r>
            <w:r w:rsidR="00A86B4C" w:rsidRPr="00844148">
              <w:rPr>
                <w:rFonts w:ascii="Arial" w:hAnsi="Arial" w:cs="Arial"/>
                <w:b/>
                <w:sz w:val="20"/>
              </w:rPr>
              <w:t xml:space="preserve"> </w:t>
            </w:r>
            <w:r w:rsidR="00B456AF" w:rsidRPr="00844148">
              <w:rPr>
                <w:rFonts w:ascii="Arial" w:hAnsi="Arial" w:cs="Arial"/>
                <w:b/>
                <w:sz w:val="20"/>
              </w:rPr>
              <w:t xml:space="preserve">relative to </w:t>
            </w:r>
            <w:r w:rsidR="002D2019" w:rsidRPr="00844148">
              <w:rPr>
                <w:rFonts w:ascii="Arial" w:hAnsi="Arial" w:cs="Arial"/>
                <w:b/>
                <w:sz w:val="20"/>
              </w:rPr>
              <w:t>around 6 months (ie</w:t>
            </w:r>
            <w:r w:rsidR="000A3BCD" w:rsidRPr="00844148">
              <w:rPr>
                <w:rFonts w:ascii="Arial" w:hAnsi="Arial" w:cs="Arial"/>
                <w:b/>
                <w:sz w:val="20"/>
              </w:rPr>
              <w:t xml:space="preserve"> with</w:t>
            </w:r>
            <w:r w:rsidR="002D2019" w:rsidRPr="00844148">
              <w:rPr>
                <w:rFonts w:ascii="Arial" w:hAnsi="Arial" w:cs="Arial"/>
                <w:b/>
                <w:sz w:val="20"/>
              </w:rPr>
              <w:t>in window from 4 months to &lt;</w:t>
            </w:r>
            <w:r w:rsidRPr="00844148">
              <w:rPr>
                <w:rFonts w:ascii="Arial" w:hAnsi="Arial" w:cs="Arial"/>
                <w:b/>
                <w:sz w:val="20"/>
              </w:rPr>
              <w:t>7 months of age</w:t>
            </w:r>
            <w:r w:rsidR="002D2019" w:rsidRPr="00844148">
              <w:rPr>
                <w:rFonts w:ascii="Arial" w:hAnsi="Arial" w:cs="Arial"/>
                <w:b/>
                <w:sz w:val="20"/>
              </w:rPr>
              <w:t>)</w:t>
            </w:r>
            <w:r w:rsidRPr="00844148">
              <w:rPr>
                <w:rFonts w:ascii="Arial" w:hAnsi="Arial" w:cs="Arial"/>
                <w:b/>
                <w:sz w:val="20"/>
              </w:rPr>
              <w:t>.</w:t>
            </w:r>
          </w:p>
          <w:p w:rsidR="00055B3D" w:rsidRPr="00844148" w:rsidRDefault="00055B3D" w:rsidP="002835BD">
            <w:pPr>
              <w:pStyle w:val="Table2"/>
              <w:rPr>
                <w:rFonts w:ascii="Arial" w:hAnsi="Arial" w:cs="Arial"/>
                <w:b/>
                <w:sz w:val="20"/>
                <w:lang w:val="en-AU"/>
              </w:rPr>
            </w:pPr>
          </w:p>
        </w:tc>
      </w:tr>
    </w:tbl>
    <w:p w:rsidR="004B7D56" w:rsidRDefault="004B7D56" w:rsidP="001B6F44"/>
    <w:p w:rsidR="004B7D56" w:rsidRDefault="004B7D56" w:rsidP="001B6F44">
      <w:r w:rsidRPr="00A0142C">
        <w:t>In these assessments, FSANZ has stressed the limitations of the available data in this</w:t>
      </w:r>
      <w:r>
        <w:t xml:space="preserve"> area</w:t>
      </w:r>
      <w:r w:rsidR="003F766A">
        <w:t xml:space="preserve"> of research</w:t>
      </w:r>
      <w:r>
        <w:t xml:space="preserve"> and the challenge of differentiating the health effects </w:t>
      </w:r>
      <w:r w:rsidR="008501D1">
        <w:t xml:space="preserve">for infants </w:t>
      </w:r>
      <w:r>
        <w:t>solely due to the introduction of solid foods, rather than to the introduction of infant formula at around the same time, or other changes. Distinguishing the effects (if any) of introducing solid food from those of infant formula is particularly important in these assessments, as this Proposal relates only to packaged solid food</w:t>
      </w:r>
      <w:r w:rsidR="003F766A">
        <w:t>s</w:t>
      </w:r>
      <w:r>
        <w:t xml:space="preserve"> and these foods may be consumed by both breastfed and formula</w:t>
      </w:r>
      <w:r w:rsidR="002835BD">
        <w:t>-</w:t>
      </w:r>
      <w:r>
        <w:t xml:space="preserve">fed infants, whether or not these children are cared for in the home or in child care centres. </w:t>
      </w:r>
    </w:p>
    <w:p w:rsidR="004B7D56" w:rsidRDefault="004B7D56" w:rsidP="001B6F44"/>
    <w:p w:rsidR="004B7D56" w:rsidRDefault="004B7D56" w:rsidP="001B6F44">
      <w:r>
        <w:t>A major challenge to this process was that much of the available evidence is confounded or complicated by unclear and conflicting definitions of what constitutes complementary foods and exclusive breastfeeding, confusion over the exact age of infants studied, and concurrent changes from breastfeeding to formula feeding</w:t>
      </w:r>
      <w:r w:rsidR="008501D1">
        <w:t xml:space="preserve"> with introduction of solid food</w:t>
      </w:r>
      <w:r w:rsidR="003F766A">
        <w:t>s</w:t>
      </w:r>
      <w:r>
        <w:t>. Data in populations of comparable</w:t>
      </w:r>
      <w:r w:rsidR="000A32DA">
        <w:t xml:space="preserve"> </w:t>
      </w:r>
      <w:r>
        <w:t>socio-economic and health status to Australia and New Zealand are also limited.</w:t>
      </w:r>
    </w:p>
    <w:p w:rsidR="004B7D56" w:rsidRPr="00E60C2A" w:rsidRDefault="00EC3C0D" w:rsidP="002835BD">
      <w:pPr>
        <w:pStyle w:val="Heading3"/>
        <w:rPr>
          <w:rStyle w:val="Heading4Char"/>
          <w:b/>
          <w:i w:val="0"/>
        </w:rPr>
      </w:pPr>
      <w:bookmarkStart w:id="25" w:name="_Toc395777845"/>
      <w:bookmarkStart w:id="26" w:name="_Toc400022175"/>
      <w:r>
        <w:rPr>
          <w:rStyle w:val="Heading4Char"/>
          <w:b/>
          <w:i w:val="0"/>
          <w:szCs w:val="24"/>
          <w:lang w:val="en-GB" w:eastAsia="en-AU"/>
        </w:rPr>
        <w:t>2.</w:t>
      </w:r>
      <w:r w:rsidR="002835BD">
        <w:rPr>
          <w:rStyle w:val="Heading4Char"/>
          <w:b/>
          <w:i w:val="0"/>
          <w:szCs w:val="24"/>
          <w:lang w:val="en-GB" w:eastAsia="en-AU"/>
        </w:rPr>
        <w:t>2.</w:t>
      </w:r>
      <w:r>
        <w:rPr>
          <w:rStyle w:val="Heading4Char"/>
          <w:b/>
          <w:i w:val="0"/>
          <w:szCs w:val="24"/>
          <w:lang w:val="en-GB" w:eastAsia="en-AU"/>
        </w:rPr>
        <w:t>1</w:t>
      </w:r>
      <w:r>
        <w:rPr>
          <w:rStyle w:val="Heading4Char"/>
          <w:b/>
          <w:i w:val="0"/>
          <w:szCs w:val="24"/>
          <w:lang w:val="en-GB" w:eastAsia="en-AU"/>
        </w:rPr>
        <w:tab/>
      </w:r>
      <w:r w:rsidR="004B7D56" w:rsidRPr="00697457">
        <w:rPr>
          <w:rStyle w:val="Heading4Char"/>
          <w:b/>
          <w:i w:val="0"/>
          <w:szCs w:val="24"/>
          <w:lang w:val="en-GB" w:eastAsia="en-AU"/>
        </w:rPr>
        <w:t>Conclusion</w:t>
      </w:r>
      <w:bookmarkEnd w:id="25"/>
      <w:bookmarkEnd w:id="26"/>
    </w:p>
    <w:p w:rsidR="004A6D67" w:rsidRPr="00DF104A" w:rsidRDefault="004B7D56" w:rsidP="001B6F44">
      <w:pPr>
        <w:rPr>
          <w:szCs w:val="22"/>
        </w:rPr>
      </w:pPr>
      <w:r>
        <w:t xml:space="preserve">Despite these caveats and after weighing all the relevant available evidence across a range of health outcomes, including growth and development, allergy development, nutrient deficiencies and infections, FSANZ’s </w:t>
      </w:r>
      <w:r w:rsidRPr="00D61779">
        <w:t xml:space="preserve">conclusions have not changed. We consider that in Australia and New Zealand, </w:t>
      </w:r>
      <w:r w:rsidRPr="00D61779">
        <w:rPr>
          <w:szCs w:val="22"/>
        </w:rPr>
        <w:t>there is no overall difference in risk between introduc</w:t>
      </w:r>
      <w:r w:rsidR="00AB3CF1" w:rsidRPr="00D61779">
        <w:rPr>
          <w:szCs w:val="22"/>
        </w:rPr>
        <w:t>ing</w:t>
      </w:r>
      <w:r w:rsidRPr="00D61779">
        <w:rPr>
          <w:szCs w:val="22"/>
        </w:rPr>
        <w:t xml:space="preserve"> solids </w:t>
      </w:r>
      <w:r w:rsidR="00D61779">
        <w:rPr>
          <w:szCs w:val="22"/>
        </w:rPr>
        <w:t xml:space="preserve">from </w:t>
      </w:r>
      <w:r w:rsidR="00D61779" w:rsidRPr="00D61779">
        <w:rPr>
          <w:szCs w:val="22"/>
        </w:rPr>
        <w:t xml:space="preserve">4 months of age </w:t>
      </w:r>
      <w:r w:rsidR="00D61779" w:rsidRPr="002341BF">
        <w:rPr>
          <w:szCs w:val="22"/>
        </w:rPr>
        <w:t>relative to</w:t>
      </w:r>
      <w:r w:rsidRPr="00D61779">
        <w:rPr>
          <w:szCs w:val="22"/>
        </w:rPr>
        <w:t xml:space="preserve"> </w:t>
      </w:r>
      <w:r w:rsidR="00A07099">
        <w:rPr>
          <w:szCs w:val="22"/>
        </w:rPr>
        <w:t>‘</w:t>
      </w:r>
      <w:r w:rsidR="002D2019">
        <w:rPr>
          <w:szCs w:val="22"/>
        </w:rPr>
        <w:t>around 6</w:t>
      </w:r>
      <w:r w:rsidR="002D2019" w:rsidRPr="00D61779">
        <w:rPr>
          <w:szCs w:val="22"/>
        </w:rPr>
        <w:t xml:space="preserve"> </w:t>
      </w:r>
      <w:r w:rsidR="00AB3CF1" w:rsidRPr="00D61779">
        <w:rPr>
          <w:szCs w:val="22"/>
        </w:rPr>
        <w:t>months</w:t>
      </w:r>
      <w:r w:rsidR="00A07099">
        <w:rPr>
          <w:szCs w:val="22"/>
        </w:rPr>
        <w:t>’</w:t>
      </w:r>
      <w:r w:rsidR="00AB3CF1" w:rsidRPr="00D61779">
        <w:rPr>
          <w:szCs w:val="22"/>
        </w:rPr>
        <w:t xml:space="preserve"> </w:t>
      </w:r>
      <w:r w:rsidR="00F40B0F" w:rsidRPr="00D61779">
        <w:rPr>
          <w:szCs w:val="22"/>
        </w:rPr>
        <w:t xml:space="preserve">of </w:t>
      </w:r>
      <w:r w:rsidRPr="00D61779">
        <w:rPr>
          <w:szCs w:val="22"/>
        </w:rPr>
        <w:t>age</w:t>
      </w:r>
      <w:r w:rsidR="002D2019">
        <w:rPr>
          <w:szCs w:val="22"/>
        </w:rPr>
        <w:t xml:space="preserve">, that is within the </w:t>
      </w:r>
      <w:r w:rsidR="00DB2523">
        <w:rPr>
          <w:szCs w:val="22"/>
        </w:rPr>
        <w:t xml:space="preserve">window of </w:t>
      </w:r>
      <w:r w:rsidR="00FC05AA">
        <w:rPr>
          <w:szCs w:val="22"/>
        </w:rPr>
        <w:t>4–</w:t>
      </w:r>
      <w:r w:rsidR="002D2019">
        <w:rPr>
          <w:szCs w:val="22"/>
        </w:rPr>
        <w:t>&lt;7 months</w:t>
      </w:r>
      <w:r w:rsidR="000A3BCD">
        <w:rPr>
          <w:szCs w:val="22"/>
        </w:rPr>
        <w:t xml:space="preserve"> of age</w:t>
      </w:r>
      <w:r w:rsidRPr="00D61779">
        <w:rPr>
          <w:szCs w:val="22"/>
        </w:rPr>
        <w:t>.</w:t>
      </w:r>
    </w:p>
    <w:p w:rsidR="00055B3D" w:rsidRDefault="00055B3D" w:rsidP="00E60C2A">
      <w:pPr>
        <w:pStyle w:val="Heading2"/>
      </w:pPr>
      <w:bookmarkStart w:id="27" w:name="_Toc395777848"/>
      <w:bookmarkStart w:id="28" w:name="_Toc400022176"/>
      <w:r>
        <w:br w:type="page"/>
      </w:r>
    </w:p>
    <w:p w:rsidR="004B7D56" w:rsidRPr="00932F14" w:rsidRDefault="004B7D56" w:rsidP="00E60C2A">
      <w:pPr>
        <w:pStyle w:val="Heading2"/>
      </w:pPr>
      <w:r>
        <w:lastRenderedPageBreak/>
        <w:t>2.3</w:t>
      </w:r>
      <w:r>
        <w:tab/>
        <w:t>Risk management</w:t>
      </w:r>
      <w:bookmarkEnd w:id="27"/>
      <w:bookmarkEnd w:id="28"/>
      <w:r>
        <w:t xml:space="preserve"> </w:t>
      </w:r>
    </w:p>
    <w:p w:rsidR="004B7D56" w:rsidRPr="00AE2225" w:rsidRDefault="004B7D56" w:rsidP="004E31FE">
      <w:pPr>
        <w:pStyle w:val="Heading3"/>
        <w:keepNext w:val="0"/>
        <w:rPr>
          <w:rFonts w:eastAsiaTheme="minorHAnsi"/>
        </w:rPr>
      </w:pPr>
      <w:bookmarkStart w:id="29" w:name="_Toc395777849"/>
      <w:bookmarkStart w:id="30" w:name="_Toc400022177"/>
      <w:r w:rsidRPr="00AE2225">
        <w:rPr>
          <w:rStyle w:val="Heading4Char"/>
          <w:b/>
          <w:i w:val="0"/>
          <w:szCs w:val="24"/>
          <w:lang w:val="en-GB" w:eastAsia="en-AU"/>
        </w:rPr>
        <w:t>2</w:t>
      </w:r>
      <w:r w:rsidRPr="00AE2225">
        <w:rPr>
          <w:rFonts w:eastAsiaTheme="minorHAnsi"/>
        </w:rPr>
        <w:t>.3.1</w:t>
      </w:r>
      <w:r w:rsidRPr="00AE2225">
        <w:rPr>
          <w:rFonts w:eastAsiaTheme="minorHAnsi"/>
        </w:rPr>
        <w:tab/>
        <w:t>The problem</w:t>
      </w:r>
      <w:bookmarkEnd w:id="29"/>
      <w:bookmarkEnd w:id="30"/>
    </w:p>
    <w:p w:rsidR="004B7D56" w:rsidRPr="00422227" w:rsidRDefault="004B7D56" w:rsidP="00E60C2A">
      <w:pPr>
        <w:pStyle w:val="Heading4"/>
      </w:pPr>
      <w:r w:rsidRPr="00422227">
        <w:t>2.3.1.1</w:t>
      </w:r>
      <w:r>
        <w:tab/>
        <w:t>Inconsistency with NHMRC guidelines</w:t>
      </w:r>
    </w:p>
    <w:p w:rsidR="00055B3D" w:rsidRDefault="004B7D56" w:rsidP="004E31FE">
      <w:pPr>
        <w:rPr>
          <w:szCs w:val="22"/>
        </w:rPr>
      </w:pPr>
      <w:r w:rsidRPr="00AE2225">
        <w:rPr>
          <w:lang w:val="en-AU"/>
        </w:rPr>
        <w:t xml:space="preserve">An inconsistency between the infant feeding guidelines </w:t>
      </w:r>
      <w:r w:rsidRPr="00AE2225">
        <w:t xml:space="preserve">and </w:t>
      </w:r>
      <w:r w:rsidRPr="00AE2225">
        <w:rPr>
          <w:lang w:val="en-AU"/>
        </w:rPr>
        <w:t xml:space="preserve">the labelling on infant food </w:t>
      </w:r>
      <w:r>
        <w:rPr>
          <w:lang w:val="en-AU"/>
        </w:rPr>
        <w:t xml:space="preserve">as suggested by the 2003 Ministerial Council </w:t>
      </w:r>
      <w:r w:rsidRPr="00AE2225">
        <w:rPr>
          <w:lang w:val="en-AU"/>
        </w:rPr>
        <w:t xml:space="preserve">could possibly cause consumer confusion, and not </w:t>
      </w:r>
      <w:r w:rsidRPr="00756546">
        <w:rPr>
          <w:lang w:val="en-AU"/>
        </w:rPr>
        <w:t xml:space="preserve">support health education messages regarding the introduction of solid foods. </w:t>
      </w:r>
      <w:r w:rsidR="00A06A1E" w:rsidRPr="001B29CB">
        <w:t xml:space="preserve">In 2014, FSANZ liaised with NHMRC to </w:t>
      </w:r>
      <w:r w:rsidR="00A06A1E" w:rsidRPr="001B29CB">
        <w:rPr>
          <w:szCs w:val="22"/>
        </w:rPr>
        <w:t>identify commonalities in the assessments undertaken by the two agencies</w:t>
      </w:r>
      <w:r w:rsidR="00A06A1E">
        <w:rPr>
          <w:szCs w:val="22"/>
        </w:rPr>
        <w:t xml:space="preserve"> </w:t>
      </w:r>
      <w:r w:rsidR="00A06A1E" w:rsidRPr="001B29CB">
        <w:rPr>
          <w:szCs w:val="22"/>
        </w:rPr>
        <w:t>and to understand the reasons for apparent differences in how the</w:t>
      </w:r>
      <w:r w:rsidR="00A23548">
        <w:rPr>
          <w:szCs w:val="22"/>
        </w:rPr>
        <w:t xml:space="preserve"> respective</w:t>
      </w:r>
      <w:r w:rsidR="00A06A1E" w:rsidRPr="001B29CB">
        <w:rPr>
          <w:szCs w:val="22"/>
        </w:rPr>
        <w:t xml:space="preserve"> assessments were used</w:t>
      </w:r>
      <w:r w:rsidR="00A23548">
        <w:rPr>
          <w:szCs w:val="22"/>
        </w:rPr>
        <w:t xml:space="preserve"> (SD1, Attachment 4)</w:t>
      </w:r>
      <w:r w:rsidR="00A06A1E" w:rsidRPr="001B29CB">
        <w:rPr>
          <w:szCs w:val="22"/>
        </w:rPr>
        <w:t xml:space="preserve">. </w:t>
      </w:r>
    </w:p>
    <w:p w:rsidR="00055B3D" w:rsidRDefault="00055B3D" w:rsidP="004E31FE">
      <w:pPr>
        <w:rPr>
          <w:szCs w:val="22"/>
        </w:rPr>
      </w:pPr>
    </w:p>
    <w:p w:rsidR="004B7D56" w:rsidRDefault="00A06A1E" w:rsidP="004E31FE">
      <w:pPr>
        <w:rPr>
          <w:rFonts w:cs="Arial"/>
          <w:szCs w:val="22"/>
        </w:rPr>
      </w:pPr>
      <w:r w:rsidRPr="001B29CB">
        <w:t xml:space="preserve">As a result, </w:t>
      </w:r>
      <w:r w:rsidRPr="001B29CB">
        <w:rPr>
          <w:rFonts w:cs="Arial"/>
          <w:lang w:val="en-AU"/>
        </w:rPr>
        <w:t xml:space="preserve">FSANZ considered that there was no inconsistency in the </w:t>
      </w:r>
      <w:r w:rsidR="00A23548">
        <w:rPr>
          <w:rFonts w:cs="Arial"/>
          <w:lang w:val="en-AU"/>
        </w:rPr>
        <w:t>assessment of</w:t>
      </w:r>
      <w:r w:rsidRPr="001B29CB">
        <w:rPr>
          <w:rFonts w:cs="Arial"/>
          <w:lang w:val="en-AU"/>
        </w:rPr>
        <w:t xml:space="preserve"> the evidence underpinning the labelling age (from 4 months), and the infant feeding guidelines (‘around 6 months’), even though different points in the age range 4</w:t>
      </w:r>
      <w:r>
        <w:rPr>
          <w:rFonts w:cs="Arial"/>
          <w:lang w:val="en-AU"/>
        </w:rPr>
        <w:t>–</w:t>
      </w:r>
      <w:r w:rsidRPr="001B29CB">
        <w:rPr>
          <w:rFonts w:cs="Arial"/>
          <w:lang w:val="en-AU"/>
        </w:rPr>
        <w:t>&lt;7 months were chosen by the two agencies</w:t>
      </w:r>
      <w:r w:rsidR="00A23548">
        <w:rPr>
          <w:rFonts w:cs="Arial"/>
          <w:lang w:val="en-AU"/>
        </w:rPr>
        <w:t xml:space="preserve"> for their advice</w:t>
      </w:r>
      <w:r w:rsidRPr="001B29CB">
        <w:rPr>
          <w:rFonts w:cs="Arial"/>
          <w:lang w:val="en-AU"/>
        </w:rPr>
        <w:t xml:space="preserve">. </w:t>
      </w:r>
      <w:r w:rsidRPr="001B29CB">
        <w:t xml:space="preserve">Apparent differences between the </w:t>
      </w:r>
      <w:r w:rsidR="00A23548">
        <w:t xml:space="preserve">two </w:t>
      </w:r>
      <w:r w:rsidRPr="001B29CB">
        <w:t>agencies’ use of the assessments reflect the differ</w:t>
      </w:r>
      <w:r>
        <w:t>ent purposes of the</w:t>
      </w:r>
      <w:r w:rsidR="00A23548">
        <w:t>ir</w:t>
      </w:r>
      <w:r>
        <w:t xml:space="preserve"> </w:t>
      </w:r>
      <w:r w:rsidR="00A23548">
        <w:t xml:space="preserve">work. </w:t>
      </w:r>
      <w:r w:rsidR="00A23548">
        <w:rPr>
          <w:rFonts w:cs="Arial"/>
        </w:rPr>
        <w:t>Food regulations must provide a high degree of certainty to protect public health and safety, whereas population guidelines directed to health workers can be more flexible to take account of the needs of individual infants.</w:t>
      </w:r>
      <w:r>
        <w:t xml:space="preserve"> </w:t>
      </w:r>
      <w:r w:rsidR="004B7D56">
        <w:rPr>
          <w:rFonts w:cs="Arial"/>
          <w:szCs w:val="22"/>
        </w:rPr>
        <w:t>FSANZ</w:t>
      </w:r>
      <w:r w:rsidR="004B7D56" w:rsidRPr="00AE2225">
        <w:rPr>
          <w:rFonts w:cs="Arial"/>
          <w:szCs w:val="22"/>
        </w:rPr>
        <w:t xml:space="preserve"> </w:t>
      </w:r>
      <w:r>
        <w:rPr>
          <w:rFonts w:cs="Arial"/>
          <w:szCs w:val="22"/>
        </w:rPr>
        <w:t xml:space="preserve">therefore </w:t>
      </w:r>
      <w:r w:rsidR="004B7D56" w:rsidRPr="00AE2225">
        <w:rPr>
          <w:rFonts w:cs="Arial"/>
          <w:szCs w:val="22"/>
        </w:rPr>
        <w:t>consider</w:t>
      </w:r>
      <w:r w:rsidR="004B7D56">
        <w:rPr>
          <w:rFonts w:cs="Arial"/>
          <w:szCs w:val="22"/>
        </w:rPr>
        <w:t>s</w:t>
      </w:r>
      <w:r w:rsidR="004B7D56" w:rsidRPr="00AE2225">
        <w:rPr>
          <w:rFonts w:cs="Arial"/>
          <w:szCs w:val="22"/>
        </w:rPr>
        <w:t xml:space="preserve"> that the apparent inconsistency between </w:t>
      </w:r>
      <w:r w:rsidR="004B7D56">
        <w:rPr>
          <w:rFonts w:cs="Arial"/>
          <w:szCs w:val="22"/>
        </w:rPr>
        <w:t xml:space="preserve">government </w:t>
      </w:r>
      <w:r w:rsidR="00D41D94" w:rsidRPr="00AE2225">
        <w:rPr>
          <w:lang w:val="en-AU"/>
        </w:rPr>
        <w:t>guidelines</w:t>
      </w:r>
      <w:r w:rsidR="004B7D56">
        <w:rPr>
          <w:rFonts w:cs="Arial"/>
          <w:szCs w:val="22"/>
        </w:rPr>
        <w:t xml:space="preserve"> and food regulation </w:t>
      </w:r>
      <w:r w:rsidR="004B7D56" w:rsidRPr="00AE2225">
        <w:rPr>
          <w:rFonts w:cs="Arial"/>
          <w:szCs w:val="22"/>
        </w:rPr>
        <w:t xml:space="preserve">is not </w:t>
      </w:r>
      <w:r w:rsidR="004B7D56">
        <w:rPr>
          <w:rFonts w:cs="Arial"/>
          <w:szCs w:val="22"/>
        </w:rPr>
        <w:t>a</w:t>
      </w:r>
      <w:r w:rsidR="004B7D56" w:rsidRPr="00AE2225">
        <w:rPr>
          <w:rFonts w:cs="Arial"/>
          <w:szCs w:val="22"/>
        </w:rPr>
        <w:t xml:space="preserve"> problem as originally thought in 2003. </w:t>
      </w:r>
    </w:p>
    <w:p w:rsidR="004B7D56" w:rsidRDefault="004B7D56" w:rsidP="004E31FE">
      <w:pPr>
        <w:pStyle w:val="Heading4"/>
        <w:ind w:left="567" w:hanging="567"/>
      </w:pPr>
      <w:r w:rsidRPr="00FC2CCB">
        <w:t>2.3.1.2</w:t>
      </w:r>
      <w:r>
        <w:tab/>
      </w:r>
      <w:r w:rsidRPr="00FC2CCB">
        <w:t>Potential harm to infants</w:t>
      </w:r>
    </w:p>
    <w:p w:rsidR="004B7D56" w:rsidRPr="00532640" w:rsidRDefault="004B7D56" w:rsidP="004E31FE">
      <w:pPr>
        <w:pStyle w:val="heading"/>
        <w:jc w:val="left"/>
        <w:rPr>
          <w:rFonts w:ascii="Arial" w:hAnsi="Arial" w:cs="Arial"/>
          <w:b w:val="0"/>
          <w:caps w:val="0"/>
          <w:sz w:val="22"/>
          <w:szCs w:val="22"/>
        </w:rPr>
      </w:pPr>
      <w:r w:rsidRPr="007F02BA">
        <w:rPr>
          <w:rFonts w:ascii="Arial" w:hAnsi="Arial" w:cs="Arial"/>
          <w:b w:val="0"/>
          <w:caps w:val="0"/>
          <w:sz w:val="22"/>
          <w:szCs w:val="22"/>
        </w:rPr>
        <w:t xml:space="preserve">OBPR has advised that inconsistency between national </w:t>
      </w:r>
      <w:r w:rsidR="00D41D94" w:rsidRPr="00D41D94">
        <w:rPr>
          <w:rFonts w:ascii="Arial" w:hAnsi="Arial" w:cs="Arial"/>
          <w:b w:val="0"/>
          <w:caps w:val="0"/>
          <w:sz w:val="22"/>
          <w:szCs w:val="22"/>
          <w:lang w:val="en-AU"/>
        </w:rPr>
        <w:t>guidelines</w:t>
      </w:r>
      <w:r w:rsidRPr="00532640">
        <w:rPr>
          <w:rFonts w:ascii="Arial" w:hAnsi="Arial" w:cs="Arial"/>
          <w:b w:val="0"/>
          <w:caps w:val="0"/>
          <w:sz w:val="22"/>
          <w:szCs w:val="22"/>
        </w:rPr>
        <w:t xml:space="preserve"> and labelling is not regarded as a problem unless there is harm arising from such inconsistency. For example, receiving solid foods at inappropriate ages may cause adverse health effects for infants. </w:t>
      </w:r>
    </w:p>
    <w:p w:rsidR="004B7D56" w:rsidRPr="00532640" w:rsidRDefault="004B7D56" w:rsidP="001B6F44">
      <w:pPr>
        <w:pStyle w:val="heading"/>
        <w:jc w:val="left"/>
        <w:rPr>
          <w:rFonts w:ascii="Arial" w:hAnsi="Arial" w:cs="Arial"/>
          <w:b w:val="0"/>
          <w:caps w:val="0"/>
          <w:sz w:val="22"/>
          <w:szCs w:val="22"/>
        </w:rPr>
      </w:pPr>
    </w:p>
    <w:p w:rsidR="00E3252F" w:rsidRDefault="004B7D56" w:rsidP="001B6F44">
      <w:pPr>
        <w:pStyle w:val="heading"/>
        <w:jc w:val="left"/>
      </w:pPr>
      <w:r>
        <w:rPr>
          <w:rFonts w:ascii="Arial" w:hAnsi="Arial" w:cs="Arial"/>
          <w:b w:val="0"/>
          <w:caps w:val="0"/>
          <w:sz w:val="22"/>
          <w:szCs w:val="22"/>
        </w:rPr>
        <w:t>FSANZ’</w:t>
      </w:r>
      <w:r w:rsidRPr="007F02BA">
        <w:rPr>
          <w:rFonts w:ascii="Arial" w:hAnsi="Arial" w:cs="Arial"/>
          <w:b w:val="0"/>
          <w:caps w:val="0"/>
          <w:sz w:val="22"/>
          <w:szCs w:val="22"/>
        </w:rPr>
        <w:t>s risk assessment of the current evidence determined that, in developed countries with generally hygienically prepared foods</w:t>
      </w:r>
      <w:r w:rsidRPr="00785D09">
        <w:rPr>
          <w:rFonts w:ascii="Arial" w:hAnsi="Arial" w:cs="Arial"/>
          <w:b w:val="0"/>
          <w:caps w:val="0"/>
          <w:sz w:val="22"/>
          <w:szCs w:val="22"/>
        </w:rPr>
        <w:t xml:space="preserve">, there is </w:t>
      </w:r>
      <w:r w:rsidRPr="002704B2">
        <w:rPr>
          <w:rFonts w:ascii="Arial" w:hAnsi="Arial" w:cs="Arial"/>
          <w:b w:val="0"/>
          <w:caps w:val="0"/>
          <w:sz w:val="22"/>
          <w:szCs w:val="22"/>
        </w:rPr>
        <w:t xml:space="preserve">no </w:t>
      </w:r>
      <w:r w:rsidR="00D82FDB" w:rsidRPr="002704B2">
        <w:rPr>
          <w:rFonts w:ascii="Arial" w:hAnsi="Arial" w:cs="Arial"/>
          <w:b w:val="0"/>
          <w:caps w:val="0"/>
          <w:sz w:val="22"/>
          <w:szCs w:val="22"/>
        </w:rPr>
        <w:t xml:space="preserve">difference in </w:t>
      </w:r>
      <w:r w:rsidRPr="002704B2">
        <w:rPr>
          <w:rFonts w:ascii="Arial" w:hAnsi="Arial" w:cs="Arial"/>
          <w:b w:val="0"/>
          <w:caps w:val="0"/>
          <w:sz w:val="22"/>
          <w:szCs w:val="22"/>
        </w:rPr>
        <w:t>risk of harm to the health</w:t>
      </w:r>
      <w:r w:rsidRPr="00785D09">
        <w:rPr>
          <w:rFonts w:ascii="Arial" w:hAnsi="Arial" w:cs="Arial"/>
          <w:b w:val="0"/>
          <w:caps w:val="0"/>
          <w:sz w:val="22"/>
          <w:szCs w:val="22"/>
        </w:rPr>
        <w:t xml:space="preserve"> of infants from introducing solid food </w:t>
      </w:r>
      <w:r w:rsidR="00D556D4" w:rsidRPr="00785D09">
        <w:rPr>
          <w:rFonts w:ascii="Arial" w:hAnsi="Arial" w:cs="Arial"/>
          <w:b w:val="0"/>
          <w:caps w:val="0"/>
          <w:sz w:val="22"/>
          <w:szCs w:val="22"/>
        </w:rPr>
        <w:t xml:space="preserve">from 4 months relative to </w:t>
      </w:r>
      <w:r w:rsidR="003B3688">
        <w:rPr>
          <w:rFonts w:ascii="Arial" w:hAnsi="Arial" w:cs="Arial"/>
          <w:b w:val="0"/>
          <w:caps w:val="0"/>
          <w:sz w:val="22"/>
          <w:szCs w:val="22"/>
        </w:rPr>
        <w:t>‘</w:t>
      </w:r>
      <w:r w:rsidR="00D556D4" w:rsidRPr="00785D09">
        <w:rPr>
          <w:rFonts w:ascii="Arial" w:hAnsi="Arial" w:cs="Arial"/>
          <w:b w:val="0"/>
          <w:caps w:val="0"/>
          <w:sz w:val="22"/>
          <w:szCs w:val="22"/>
        </w:rPr>
        <w:t>around 6 months</w:t>
      </w:r>
      <w:r w:rsidR="003B3688">
        <w:rPr>
          <w:rFonts w:ascii="Arial" w:hAnsi="Arial" w:cs="Arial"/>
          <w:b w:val="0"/>
          <w:caps w:val="0"/>
          <w:sz w:val="22"/>
          <w:szCs w:val="22"/>
        </w:rPr>
        <w:t>’</w:t>
      </w:r>
      <w:r w:rsidR="00D556D4" w:rsidRPr="00785D09">
        <w:rPr>
          <w:rFonts w:ascii="Arial" w:hAnsi="Arial" w:cs="Arial"/>
          <w:b w:val="0"/>
          <w:caps w:val="0"/>
          <w:sz w:val="22"/>
          <w:szCs w:val="22"/>
        </w:rPr>
        <w:t xml:space="preserve"> </w:t>
      </w:r>
      <w:r w:rsidR="00EE0A81" w:rsidRPr="00785D09">
        <w:rPr>
          <w:rFonts w:ascii="Arial" w:hAnsi="Arial" w:cs="Arial"/>
          <w:b w:val="0"/>
          <w:caps w:val="0"/>
          <w:sz w:val="22"/>
          <w:szCs w:val="22"/>
        </w:rPr>
        <w:t>of age</w:t>
      </w:r>
      <w:r w:rsidRPr="00785D09">
        <w:rPr>
          <w:rFonts w:ascii="Arial" w:hAnsi="Arial" w:cs="Arial"/>
          <w:b w:val="0"/>
          <w:caps w:val="0"/>
          <w:sz w:val="22"/>
          <w:szCs w:val="22"/>
        </w:rPr>
        <w:t xml:space="preserve">. </w:t>
      </w:r>
      <w:r w:rsidR="00E3252F" w:rsidRPr="00785D09">
        <w:rPr>
          <w:rFonts w:ascii="Arial" w:hAnsi="Arial" w:cs="Arial"/>
          <w:b w:val="0"/>
          <w:caps w:val="0"/>
          <w:sz w:val="22"/>
          <w:szCs w:val="22"/>
        </w:rPr>
        <w:t>Based on</w:t>
      </w:r>
      <w:r w:rsidRPr="00785D09">
        <w:rPr>
          <w:rFonts w:ascii="Arial" w:hAnsi="Arial" w:cs="Arial"/>
          <w:b w:val="0"/>
          <w:caps w:val="0"/>
          <w:sz w:val="22"/>
          <w:szCs w:val="22"/>
        </w:rPr>
        <w:t xml:space="preserve"> this evidence, there is </w:t>
      </w:r>
      <w:r w:rsidR="00E45AC2" w:rsidRPr="00785D09">
        <w:rPr>
          <w:rFonts w:ascii="Arial" w:hAnsi="Arial" w:cs="Arial"/>
          <w:b w:val="0"/>
          <w:caps w:val="0"/>
          <w:sz w:val="22"/>
          <w:szCs w:val="22"/>
        </w:rPr>
        <w:t xml:space="preserve">unlikely to be any </w:t>
      </w:r>
      <w:r w:rsidRPr="00785D09">
        <w:rPr>
          <w:rFonts w:ascii="Arial" w:hAnsi="Arial" w:cs="Arial"/>
          <w:b w:val="0"/>
          <w:caps w:val="0"/>
          <w:sz w:val="22"/>
          <w:szCs w:val="22"/>
        </w:rPr>
        <w:t>harm to infants in Australia and New Zealand as a result of the current labelling.</w:t>
      </w:r>
      <w:r w:rsidR="00EE0A81" w:rsidRPr="00EE0A81">
        <w:t xml:space="preserve"> </w:t>
      </w:r>
    </w:p>
    <w:p w:rsidR="000A3BCD" w:rsidRPr="007F02BA" w:rsidRDefault="000A3BCD" w:rsidP="001B6F44">
      <w:pPr>
        <w:pStyle w:val="heading"/>
        <w:jc w:val="left"/>
        <w:rPr>
          <w:rFonts w:ascii="Arial" w:hAnsi="Arial" w:cs="Arial"/>
          <w:b w:val="0"/>
          <w:caps w:val="0"/>
          <w:sz w:val="22"/>
          <w:szCs w:val="22"/>
        </w:rPr>
      </w:pPr>
    </w:p>
    <w:p w:rsidR="004B7D56" w:rsidRPr="0068757C" w:rsidRDefault="004B7D56" w:rsidP="001B6F44">
      <w:pPr>
        <w:pStyle w:val="heading"/>
        <w:jc w:val="left"/>
        <w:rPr>
          <w:rFonts w:ascii="Arial" w:hAnsi="Arial" w:cs="Arial"/>
          <w:b w:val="0"/>
          <w:caps w:val="0"/>
          <w:sz w:val="22"/>
          <w:szCs w:val="22"/>
        </w:rPr>
      </w:pPr>
      <w:r w:rsidRPr="0068757C">
        <w:rPr>
          <w:rFonts w:ascii="Arial" w:hAnsi="Arial" w:cs="Arial"/>
          <w:b w:val="0"/>
          <w:caps w:val="0"/>
          <w:sz w:val="22"/>
          <w:szCs w:val="22"/>
        </w:rPr>
        <w:t xml:space="preserve">However, some stakeholders expressed concern about infants </w:t>
      </w:r>
      <w:r>
        <w:rPr>
          <w:rFonts w:ascii="Arial" w:hAnsi="Arial" w:cs="Arial"/>
          <w:b w:val="0"/>
          <w:caps w:val="0"/>
          <w:sz w:val="22"/>
          <w:szCs w:val="22"/>
        </w:rPr>
        <w:t xml:space="preserve">who </w:t>
      </w:r>
      <w:r w:rsidRPr="0068757C">
        <w:rPr>
          <w:rFonts w:ascii="Arial" w:hAnsi="Arial" w:cs="Arial"/>
          <w:b w:val="0"/>
          <w:caps w:val="0"/>
          <w:sz w:val="22"/>
          <w:szCs w:val="22"/>
        </w:rPr>
        <w:t>receiv</w:t>
      </w:r>
      <w:r>
        <w:rPr>
          <w:rFonts w:ascii="Arial" w:hAnsi="Arial" w:cs="Arial"/>
          <w:b w:val="0"/>
          <w:caps w:val="0"/>
          <w:sz w:val="22"/>
          <w:szCs w:val="22"/>
        </w:rPr>
        <w:t>ed</w:t>
      </w:r>
      <w:r w:rsidRPr="0068757C">
        <w:rPr>
          <w:rFonts w:ascii="Arial" w:hAnsi="Arial" w:cs="Arial"/>
          <w:b w:val="0"/>
          <w:caps w:val="0"/>
          <w:sz w:val="22"/>
          <w:szCs w:val="22"/>
        </w:rPr>
        <w:t xml:space="preserve"> solids </w:t>
      </w:r>
      <w:r w:rsidRPr="0068757C">
        <w:rPr>
          <w:rFonts w:ascii="Arial" w:hAnsi="Arial" w:cs="Arial"/>
          <w:b w:val="0"/>
          <w:i/>
          <w:caps w:val="0"/>
          <w:sz w:val="22"/>
          <w:szCs w:val="22"/>
        </w:rPr>
        <w:t>before</w:t>
      </w:r>
      <w:r w:rsidRPr="0068757C">
        <w:rPr>
          <w:rFonts w:ascii="Arial" w:hAnsi="Arial" w:cs="Arial"/>
          <w:b w:val="0"/>
          <w:caps w:val="0"/>
          <w:sz w:val="22"/>
          <w:szCs w:val="22"/>
        </w:rPr>
        <w:t xml:space="preserve"> 4 months of age (currently from 4</w:t>
      </w:r>
      <w:r w:rsidR="00105084">
        <w:rPr>
          <w:szCs w:val="22"/>
        </w:rPr>
        <w:t>–</w:t>
      </w:r>
      <w:r w:rsidRPr="0068757C">
        <w:rPr>
          <w:rFonts w:ascii="Arial" w:hAnsi="Arial" w:cs="Arial"/>
          <w:b w:val="0"/>
          <w:caps w:val="0"/>
          <w:sz w:val="22"/>
          <w:szCs w:val="22"/>
        </w:rPr>
        <w:t>10%</w:t>
      </w:r>
      <w:r>
        <w:rPr>
          <w:rFonts w:ascii="Arial" w:hAnsi="Arial" w:cs="Arial"/>
          <w:b w:val="0"/>
          <w:caps w:val="0"/>
          <w:sz w:val="22"/>
          <w:szCs w:val="22"/>
        </w:rPr>
        <w:t xml:space="preserve"> </w:t>
      </w:r>
      <w:r>
        <w:rPr>
          <w:rFonts w:ascii="Arial" w:hAnsi="Arial" w:cs="Arial"/>
          <w:b w:val="0"/>
          <w:caps w:val="0"/>
          <w:noProof/>
          <w:sz w:val="22"/>
          <w:szCs w:val="22"/>
        </w:rPr>
        <w:t>(Australian Institute of Health and Welfare 2011; Ministry of Health 2012)</w:t>
      </w:r>
      <w:r w:rsidRPr="0068757C">
        <w:rPr>
          <w:rFonts w:ascii="Arial" w:hAnsi="Arial" w:cs="Arial"/>
          <w:b w:val="0"/>
          <w:caps w:val="0"/>
          <w:sz w:val="22"/>
          <w:szCs w:val="22"/>
        </w:rPr>
        <w:t xml:space="preserve">), which is not recommended. </w:t>
      </w:r>
      <w:r>
        <w:rPr>
          <w:rFonts w:ascii="Arial" w:hAnsi="Arial" w:cs="Arial"/>
          <w:b w:val="0"/>
          <w:caps w:val="0"/>
          <w:sz w:val="22"/>
          <w:szCs w:val="22"/>
        </w:rPr>
        <w:t xml:space="preserve">Stakeholders </w:t>
      </w:r>
      <w:r w:rsidRPr="0068757C">
        <w:rPr>
          <w:rFonts w:ascii="Arial" w:hAnsi="Arial" w:cs="Arial"/>
          <w:b w:val="0"/>
          <w:caps w:val="0"/>
          <w:sz w:val="22"/>
          <w:szCs w:val="22"/>
        </w:rPr>
        <w:t xml:space="preserve">considered that continuing to label infant food </w:t>
      </w:r>
      <w:r w:rsidR="00D41D94">
        <w:rPr>
          <w:rFonts w:ascii="Arial" w:hAnsi="Arial" w:cs="Arial"/>
          <w:b w:val="0"/>
          <w:caps w:val="0"/>
          <w:sz w:val="22"/>
          <w:szCs w:val="22"/>
        </w:rPr>
        <w:t>‘</w:t>
      </w:r>
      <w:r w:rsidRPr="0068757C">
        <w:rPr>
          <w:rFonts w:ascii="Arial" w:hAnsi="Arial" w:cs="Arial"/>
          <w:b w:val="0"/>
          <w:caps w:val="0"/>
          <w:sz w:val="22"/>
          <w:szCs w:val="22"/>
        </w:rPr>
        <w:t>from 4 months</w:t>
      </w:r>
      <w:r w:rsidR="00D41D94">
        <w:rPr>
          <w:rFonts w:ascii="Arial" w:hAnsi="Arial" w:cs="Arial"/>
          <w:b w:val="0"/>
          <w:caps w:val="0"/>
          <w:sz w:val="22"/>
          <w:szCs w:val="22"/>
        </w:rPr>
        <w:t>’</w:t>
      </w:r>
      <w:r w:rsidRPr="0068757C">
        <w:rPr>
          <w:rFonts w:ascii="Arial" w:hAnsi="Arial" w:cs="Arial"/>
          <w:b w:val="0"/>
          <w:caps w:val="0"/>
          <w:sz w:val="22"/>
          <w:szCs w:val="22"/>
        </w:rPr>
        <w:t xml:space="preserve"> (rather than </w:t>
      </w:r>
      <w:r>
        <w:rPr>
          <w:rFonts w:ascii="Arial" w:hAnsi="Arial" w:cs="Arial"/>
          <w:b w:val="0"/>
          <w:caps w:val="0"/>
          <w:sz w:val="22"/>
          <w:szCs w:val="22"/>
        </w:rPr>
        <w:t>raising</w:t>
      </w:r>
      <w:r w:rsidRPr="0068757C">
        <w:rPr>
          <w:rFonts w:ascii="Arial" w:hAnsi="Arial" w:cs="Arial"/>
          <w:b w:val="0"/>
          <w:caps w:val="0"/>
          <w:sz w:val="22"/>
          <w:szCs w:val="22"/>
        </w:rPr>
        <w:t xml:space="preserve"> to ‘around 6 months’) would not help reduce the current prevalence of premature introduction of solids</w:t>
      </w:r>
      <w:r>
        <w:rPr>
          <w:rFonts w:ascii="Arial" w:hAnsi="Arial" w:cs="Arial"/>
          <w:b w:val="0"/>
          <w:caps w:val="0"/>
          <w:sz w:val="22"/>
          <w:szCs w:val="22"/>
        </w:rPr>
        <w:t xml:space="preserve"> which, it was suggested, might be indirectly achieved if </w:t>
      </w:r>
      <w:r w:rsidRPr="00E744F1">
        <w:rPr>
          <w:rFonts w:ascii="Arial" w:hAnsi="Arial" w:cs="Arial"/>
          <w:b w:val="0"/>
          <w:caps w:val="0"/>
          <w:sz w:val="22"/>
          <w:szCs w:val="22"/>
        </w:rPr>
        <w:t xml:space="preserve">the </w:t>
      </w:r>
      <w:r w:rsidR="00E45AC2">
        <w:rPr>
          <w:rFonts w:ascii="Arial" w:hAnsi="Arial" w:cs="Arial"/>
          <w:b w:val="0"/>
          <w:caps w:val="0"/>
          <w:sz w:val="22"/>
          <w:szCs w:val="22"/>
        </w:rPr>
        <w:t>minimum</w:t>
      </w:r>
      <w:r>
        <w:rPr>
          <w:rFonts w:ascii="Arial" w:hAnsi="Arial" w:cs="Arial"/>
          <w:b w:val="0"/>
          <w:caps w:val="0"/>
          <w:sz w:val="22"/>
          <w:szCs w:val="22"/>
        </w:rPr>
        <w:t xml:space="preserve"> age permitted on a label was raised</w:t>
      </w:r>
      <w:r w:rsidRPr="0068757C">
        <w:rPr>
          <w:rFonts w:ascii="Arial" w:hAnsi="Arial" w:cs="Arial"/>
          <w:b w:val="0"/>
          <w:caps w:val="0"/>
          <w:sz w:val="22"/>
          <w:szCs w:val="22"/>
        </w:rPr>
        <w:t xml:space="preserve">. </w:t>
      </w:r>
    </w:p>
    <w:p w:rsidR="004B7D56" w:rsidRPr="0068757C" w:rsidRDefault="004B7D56" w:rsidP="001B6F44">
      <w:pPr>
        <w:pStyle w:val="heading"/>
        <w:jc w:val="left"/>
        <w:rPr>
          <w:rFonts w:ascii="Arial" w:hAnsi="Arial" w:cs="Arial"/>
          <w:b w:val="0"/>
          <w:caps w:val="0"/>
          <w:sz w:val="22"/>
          <w:szCs w:val="22"/>
        </w:rPr>
      </w:pPr>
    </w:p>
    <w:p w:rsidR="00E15931" w:rsidRDefault="004B7D56" w:rsidP="001B6F44">
      <w:pPr>
        <w:pStyle w:val="heading"/>
        <w:jc w:val="left"/>
        <w:rPr>
          <w:rFonts w:ascii="Arial" w:hAnsi="Arial" w:cs="Arial"/>
          <w:b w:val="0"/>
          <w:caps w:val="0"/>
          <w:sz w:val="22"/>
          <w:szCs w:val="22"/>
        </w:rPr>
      </w:pPr>
      <w:r>
        <w:rPr>
          <w:rFonts w:ascii="Arial" w:hAnsi="Arial" w:cs="Arial"/>
          <w:b w:val="0"/>
          <w:caps w:val="0"/>
          <w:sz w:val="22"/>
          <w:szCs w:val="22"/>
        </w:rPr>
        <w:t xml:space="preserve">FSANZ notes that </w:t>
      </w:r>
      <w:r w:rsidRPr="00C77920">
        <w:rPr>
          <w:rFonts w:ascii="Arial" w:hAnsi="Arial" w:cs="Arial"/>
          <w:b w:val="0"/>
          <w:caps w:val="0"/>
          <w:sz w:val="22"/>
          <w:szCs w:val="22"/>
        </w:rPr>
        <w:t>Standar</w:t>
      </w:r>
      <w:r>
        <w:rPr>
          <w:rFonts w:ascii="Arial" w:hAnsi="Arial" w:cs="Arial"/>
          <w:b w:val="0"/>
          <w:caps w:val="0"/>
          <w:sz w:val="22"/>
          <w:szCs w:val="22"/>
        </w:rPr>
        <w:t>d</w:t>
      </w:r>
      <w:r w:rsidRPr="00C77920">
        <w:rPr>
          <w:rFonts w:ascii="Arial" w:hAnsi="Arial" w:cs="Arial"/>
          <w:b w:val="0"/>
          <w:caps w:val="0"/>
          <w:sz w:val="22"/>
          <w:szCs w:val="22"/>
        </w:rPr>
        <w:t xml:space="preserve"> 2.9.</w:t>
      </w:r>
      <w:r>
        <w:rPr>
          <w:rFonts w:ascii="Arial" w:hAnsi="Arial" w:cs="Arial"/>
          <w:b w:val="0"/>
          <w:caps w:val="0"/>
          <w:sz w:val="22"/>
          <w:szCs w:val="22"/>
        </w:rPr>
        <w:t xml:space="preserve">2 requires a mandatory warning </w:t>
      </w:r>
      <w:r w:rsidRPr="00C77920">
        <w:rPr>
          <w:rFonts w:ascii="Arial" w:hAnsi="Arial" w:cs="Arial"/>
          <w:b w:val="0"/>
          <w:caps w:val="0"/>
          <w:sz w:val="22"/>
          <w:szCs w:val="22"/>
        </w:rPr>
        <w:t xml:space="preserve">statement on the label of infant foods for infants </w:t>
      </w:r>
      <w:r>
        <w:rPr>
          <w:rFonts w:ascii="Arial" w:hAnsi="Arial" w:cs="Arial"/>
          <w:b w:val="0"/>
          <w:caps w:val="0"/>
          <w:sz w:val="22"/>
          <w:szCs w:val="22"/>
        </w:rPr>
        <w:t>between</w:t>
      </w:r>
      <w:r w:rsidRPr="00C77920">
        <w:rPr>
          <w:rFonts w:ascii="Arial" w:hAnsi="Arial" w:cs="Arial"/>
          <w:b w:val="0"/>
          <w:caps w:val="0"/>
          <w:sz w:val="22"/>
          <w:szCs w:val="22"/>
        </w:rPr>
        <w:t xml:space="preserve"> 4</w:t>
      </w:r>
      <w:r w:rsidR="00105084">
        <w:rPr>
          <w:szCs w:val="22"/>
        </w:rPr>
        <w:t>–</w:t>
      </w:r>
      <w:r w:rsidRPr="00C77920">
        <w:rPr>
          <w:rFonts w:ascii="Arial" w:hAnsi="Arial" w:cs="Arial"/>
          <w:b w:val="0"/>
          <w:caps w:val="0"/>
          <w:sz w:val="22"/>
          <w:szCs w:val="22"/>
        </w:rPr>
        <w:t>6 month</w:t>
      </w:r>
      <w:r>
        <w:rPr>
          <w:rFonts w:ascii="Arial" w:hAnsi="Arial" w:cs="Arial"/>
          <w:b w:val="0"/>
          <w:caps w:val="0"/>
          <w:sz w:val="22"/>
          <w:szCs w:val="22"/>
        </w:rPr>
        <w:t>s</w:t>
      </w:r>
      <w:r w:rsidRPr="00C77920">
        <w:rPr>
          <w:rFonts w:ascii="Arial" w:hAnsi="Arial" w:cs="Arial"/>
          <w:b w:val="0"/>
          <w:caps w:val="0"/>
          <w:sz w:val="22"/>
          <w:szCs w:val="22"/>
        </w:rPr>
        <w:t xml:space="preserve"> to mitigate any potential risk i.e. ‘Not recommended for infants under the age of 4 months’. This mandatory warning requirement </w:t>
      </w:r>
      <w:r w:rsidR="00207521">
        <w:rPr>
          <w:rFonts w:ascii="Arial" w:hAnsi="Arial" w:cs="Arial"/>
          <w:b w:val="0"/>
          <w:caps w:val="0"/>
          <w:sz w:val="22"/>
          <w:szCs w:val="22"/>
        </w:rPr>
        <w:t>will continue to be required</w:t>
      </w:r>
      <w:r w:rsidRPr="00C77920">
        <w:rPr>
          <w:rFonts w:ascii="Arial" w:hAnsi="Arial" w:cs="Arial"/>
          <w:b w:val="0"/>
          <w:caps w:val="0"/>
          <w:sz w:val="22"/>
          <w:szCs w:val="22"/>
        </w:rPr>
        <w:t xml:space="preserve">. </w:t>
      </w:r>
    </w:p>
    <w:p w:rsidR="00E15931" w:rsidRDefault="00E15931" w:rsidP="001B6F44">
      <w:pPr>
        <w:pStyle w:val="heading"/>
        <w:jc w:val="left"/>
        <w:rPr>
          <w:rFonts w:ascii="Arial" w:hAnsi="Arial" w:cs="Arial"/>
          <w:b w:val="0"/>
          <w:caps w:val="0"/>
          <w:sz w:val="22"/>
          <w:szCs w:val="22"/>
        </w:rPr>
      </w:pPr>
    </w:p>
    <w:p w:rsidR="00055B3D" w:rsidRDefault="003B3688" w:rsidP="003B3688">
      <w:pPr>
        <w:rPr>
          <w:rFonts w:cs="Arial"/>
          <w:szCs w:val="22"/>
        </w:rPr>
      </w:pPr>
      <w:r w:rsidRPr="00214B1D">
        <w:rPr>
          <w:rFonts w:cs="Arial"/>
          <w:szCs w:val="22"/>
        </w:rPr>
        <w:t>In addition, we note that</w:t>
      </w:r>
      <w:r w:rsidRPr="00214B1D">
        <w:rPr>
          <w:lang w:val="en-AU"/>
        </w:rPr>
        <w:t xml:space="preserve"> 10% or fewer infants are introduced to solids before </w:t>
      </w:r>
      <w:r w:rsidR="00207521">
        <w:rPr>
          <w:lang w:val="en-AU"/>
        </w:rPr>
        <w:t>4</w:t>
      </w:r>
      <w:r w:rsidR="00207521" w:rsidRPr="00214B1D">
        <w:rPr>
          <w:lang w:val="en-AU"/>
        </w:rPr>
        <w:t xml:space="preserve"> </w:t>
      </w:r>
      <w:r w:rsidRPr="00214B1D">
        <w:rPr>
          <w:lang w:val="en-AU"/>
        </w:rPr>
        <w:t>months of age</w:t>
      </w:r>
      <w:r w:rsidR="00207521" w:rsidRPr="00207521">
        <w:rPr>
          <w:rFonts w:cs="Arial"/>
          <w:szCs w:val="22"/>
        </w:rPr>
        <w:t xml:space="preserve"> </w:t>
      </w:r>
      <w:r w:rsidR="00207521" w:rsidRPr="00214B1D">
        <w:rPr>
          <w:rFonts w:cs="Arial"/>
          <w:szCs w:val="22"/>
        </w:rPr>
        <w:t>i</w:t>
      </w:r>
      <w:r w:rsidR="00207521" w:rsidRPr="00214B1D">
        <w:rPr>
          <w:lang w:val="en-AU"/>
        </w:rPr>
        <w:t>n both Australia and New Zealand</w:t>
      </w:r>
      <w:r w:rsidRPr="00214B1D">
        <w:rPr>
          <w:lang w:val="en-AU"/>
        </w:rPr>
        <w:t xml:space="preserve">. This proportion appears to have declined compared to earlier surveys </w:t>
      </w:r>
      <w:r w:rsidRPr="00214B1D">
        <w:rPr>
          <w:rFonts w:cs="Arial"/>
          <w:szCs w:val="22"/>
        </w:rPr>
        <w:t xml:space="preserve">e.g. </w:t>
      </w:r>
      <w:r w:rsidRPr="00214B1D">
        <w:rPr>
          <w:bCs/>
        </w:rPr>
        <w:t xml:space="preserve">for Queensland, the proportion of infants receiving solids before 4 months dropped from 48.5% (2003) to 12.3% (2008) to 5.9% (2010). </w:t>
      </w:r>
      <w:r w:rsidRPr="00214B1D">
        <w:rPr>
          <w:rFonts w:cs="Arial"/>
          <w:szCs w:val="22"/>
        </w:rPr>
        <w:t>I</w:t>
      </w:r>
      <w:r w:rsidRPr="00214B1D">
        <w:rPr>
          <w:bCs/>
        </w:rPr>
        <w:t>n New Zealand</w:t>
      </w:r>
      <w:r w:rsidR="00102197">
        <w:rPr>
          <w:bCs/>
        </w:rPr>
        <w:t>,</w:t>
      </w:r>
      <w:r w:rsidRPr="00214B1D">
        <w:rPr>
          <w:bCs/>
        </w:rPr>
        <w:t xml:space="preserve"> the proportion of infants receiving solids before 4 months dropped from </w:t>
      </w:r>
      <w:r w:rsidRPr="00214B1D">
        <w:rPr>
          <w:lang w:val="en-AU"/>
        </w:rPr>
        <w:t xml:space="preserve">16% in 2006/07 to 10% in 2011/2012 (see SD1). </w:t>
      </w:r>
      <w:r w:rsidR="003147D5" w:rsidRPr="00214B1D">
        <w:rPr>
          <w:lang w:val="en-AU"/>
        </w:rPr>
        <w:t>Over these years</w:t>
      </w:r>
      <w:r w:rsidRPr="00214B1D">
        <w:rPr>
          <w:rFonts w:cs="Arial"/>
          <w:szCs w:val="22"/>
        </w:rPr>
        <w:t xml:space="preserve">, the permission </w:t>
      </w:r>
      <w:r w:rsidR="003147D5" w:rsidRPr="00214B1D">
        <w:rPr>
          <w:rFonts w:cs="Arial"/>
          <w:szCs w:val="22"/>
        </w:rPr>
        <w:t xml:space="preserve">in Standard 2.9.2 </w:t>
      </w:r>
      <w:r w:rsidRPr="00214B1D">
        <w:rPr>
          <w:rFonts w:cs="Arial"/>
          <w:szCs w:val="22"/>
        </w:rPr>
        <w:t xml:space="preserve">to label infant food from </w:t>
      </w:r>
      <w:r w:rsidR="00207521">
        <w:rPr>
          <w:rFonts w:cs="Arial"/>
          <w:szCs w:val="22"/>
        </w:rPr>
        <w:t>‘</w:t>
      </w:r>
      <w:r w:rsidRPr="00214B1D">
        <w:rPr>
          <w:rFonts w:cs="Arial"/>
          <w:szCs w:val="22"/>
        </w:rPr>
        <w:t xml:space="preserve">4 months’ </w:t>
      </w:r>
      <w:r w:rsidR="003147D5" w:rsidRPr="00214B1D">
        <w:rPr>
          <w:rFonts w:cs="Arial"/>
          <w:szCs w:val="22"/>
        </w:rPr>
        <w:t>did not change</w:t>
      </w:r>
      <w:r w:rsidRPr="00214B1D">
        <w:rPr>
          <w:rFonts w:cs="Arial"/>
          <w:szCs w:val="22"/>
        </w:rPr>
        <w:t xml:space="preserve">. </w:t>
      </w:r>
      <w:r w:rsidR="004B7D56" w:rsidRPr="00214B1D">
        <w:rPr>
          <w:rFonts w:cs="Arial"/>
          <w:szCs w:val="22"/>
        </w:rPr>
        <w:t xml:space="preserve">This </w:t>
      </w:r>
      <w:r w:rsidR="004B7D56" w:rsidRPr="009432FF">
        <w:rPr>
          <w:rFonts w:cs="Arial"/>
          <w:szCs w:val="22"/>
        </w:rPr>
        <w:t xml:space="preserve">suggests that the infant feeding </w:t>
      </w:r>
      <w:r w:rsidR="00D41D94">
        <w:rPr>
          <w:rFonts w:cs="Arial"/>
          <w:szCs w:val="22"/>
        </w:rPr>
        <w:t xml:space="preserve">guidelines </w:t>
      </w:r>
      <w:r w:rsidR="004B7D56" w:rsidRPr="009432FF">
        <w:rPr>
          <w:rFonts w:cs="Arial"/>
          <w:szCs w:val="22"/>
        </w:rPr>
        <w:t>and education are having a</w:t>
      </w:r>
      <w:r w:rsidR="00207521">
        <w:rPr>
          <w:rFonts w:cs="Arial"/>
          <w:szCs w:val="22"/>
        </w:rPr>
        <w:t>n</w:t>
      </w:r>
      <w:r w:rsidR="004B7D56" w:rsidRPr="009432FF">
        <w:rPr>
          <w:rFonts w:cs="Arial"/>
          <w:szCs w:val="22"/>
        </w:rPr>
        <w:t xml:space="preserve"> influence on </w:t>
      </w:r>
      <w:r w:rsidR="009A0F48" w:rsidRPr="009432FF">
        <w:rPr>
          <w:rFonts w:cs="Arial"/>
          <w:szCs w:val="22"/>
        </w:rPr>
        <w:t xml:space="preserve">carers of </w:t>
      </w:r>
      <w:r w:rsidR="004B7D56" w:rsidRPr="009432FF">
        <w:rPr>
          <w:rFonts w:cs="Arial"/>
          <w:szCs w:val="22"/>
        </w:rPr>
        <w:t>that age group.</w:t>
      </w:r>
      <w:r w:rsidR="00E15931" w:rsidRPr="009432FF">
        <w:rPr>
          <w:rFonts w:cs="Arial"/>
          <w:szCs w:val="22"/>
        </w:rPr>
        <w:t xml:space="preserve"> </w:t>
      </w:r>
      <w:r w:rsidR="00055B3D">
        <w:rPr>
          <w:rFonts w:cs="Arial"/>
          <w:szCs w:val="22"/>
        </w:rPr>
        <w:br w:type="page"/>
      </w:r>
    </w:p>
    <w:p w:rsidR="000D761D" w:rsidRDefault="00E15931" w:rsidP="003B3688">
      <w:pPr>
        <w:rPr>
          <w:rFonts w:cs="Arial"/>
          <w:b/>
          <w:caps/>
          <w:szCs w:val="22"/>
        </w:rPr>
      </w:pPr>
      <w:r w:rsidRPr="009432FF">
        <w:rPr>
          <w:rFonts w:cs="Arial"/>
          <w:szCs w:val="22"/>
        </w:rPr>
        <w:lastRenderedPageBreak/>
        <w:t>This issue was not considered further under Proposal 274, as it was not the purpose of the original request, and the warning statement continues to reflect the evidence base for the Australia</w:t>
      </w:r>
      <w:r w:rsidR="009A0F48" w:rsidRPr="009432FF">
        <w:rPr>
          <w:rFonts w:cs="Arial"/>
          <w:szCs w:val="22"/>
        </w:rPr>
        <w:t>n</w:t>
      </w:r>
      <w:r w:rsidRPr="009432FF">
        <w:rPr>
          <w:rFonts w:cs="Arial"/>
          <w:szCs w:val="22"/>
        </w:rPr>
        <w:t xml:space="preserve"> and New Zealand guidelines.  </w:t>
      </w:r>
    </w:p>
    <w:p w:rsidR="004B7D56" w:rsidRPr="009432FF" w:rsidRDefault="004B7D56" w:rsidP="00E60C2A">
      <w:pPr>
        <w:pStyle w:val="Heading3"/>
      </w:pPr>
      <w:bookmarkStart w:id="31" w:name="_Toc395777850"/>
      <w:bookmarkStart w:id="32" w:name="_Toc400022178"/>
      <w:r w:rsidRPr="009432FF">
        <w:t>2.3.2</w:t>
      </w:r>
      <w:r w:rsidRPr="009432FF">
        <w:tab/>
        <w:t>Cost benefit analysis</w:t>
      </w:r>
      <w:bookmarkEnd w:id="31"/>
      <w:bookmarkEnd w:id="32"/>
    </w:p>
    <w:p w:rsidR="004B7D56" w:rsidRPr="00C65967" w:rsidRDefault="004B7D56" w:rsidP="001B6F44">
      <w:pPr>
        <w:rPr>
          <w:rFonts w:cs="Arial"/>
          <w:szCs w:val="22"/>
          <w:lang w:val="en-US" w:eastAsia="en-GB"/>
        </w:rPr>
      </w:pPr>
      <w:r w:rsidRPr="00C65967">
        <w:rPr>
          <w:rFonts w:cs="Arial"/>
          <w:lang w:val="en-US" w:eastAsia="en-GB"/>
        </w:rPr>
        <w:t xml:space="preserve">The </w:t>
      </w:r>
      <w:r w:rsidRPr="00C65967">
        <w:rPr>
          <w:rFonts w:cs="Arial"/>
        </w:rPr>
        <w:t>assessment of this Proposal indicates that no regulatory response is necessary and that the s</w:t>
      </w:r>
      <w:r w:rsidR="000A3BCD">
        <w:rPr>
          <w:rFonts w:cs="Arial"/>
        </w:rPr>
        <w:t>tatus quo should be maintained.</w:t>
      </w:r>
      <w:r w:rsidRPr="00C65967">
        <w:rPr>
          <w:rFonts w:cs="Arial"/>
        </w:rPr>
        <w:t xml:space="preserve"> This conclusion has been reached on the basis </w:t>
      </w:r>
      <w:r w:rsidR="00207521">
        <w:rPr>
          <w:rFonts w:cs="Arial"/>
        </w:rPr>
        <w:t>of</w:t>
      </w:r>
      <w:r w:rsidR="00207521" w:rsidRPr="00C65967">
        <w:rPr>
          <w:rFonts w:cs="Arial"/>
        </w:rPr>
        <w:t xml:space="preserve"> </w:t>
      </w:r>
      <w:r w:rsidRPr="00C65967">
        <w:rPr>
          <w:rFonts w:cs="Arial"/>
        </w:rPr>
        <w:t xml:space="preserve">no </w:t>
      </w:r>
      <w:r w:rsidRPr="00C65967">
        <w:t xml:space="preserve">difference in risk of harm from </w:t>
      </w:r>
      <w:r w:rsidR="00E3252F">
        <w:t>introducing</w:t>
      </w:r>
      <w:r w:rsidRPr="00C65967">
        <w:t xml:space="preserve"> solids from 4 months of age, when compared to introducing solids at ‘around 6 months</w:t>
      </w:r>
      <w:r>
        <w:t>’</w:t>
      </w:r>
      <w:r w:rsidRPr="00C65967">
        <w:t xml:space="preserve"> </w:t>
      </w:r>
      <w:r w:rsidRPr="00C65967">
        <w:rPr>
          <w:rFonts w:cs="Arial"/>
        </w:rPr>
        <w:t>of age</w:t>
      </w:r>
      <w:r w:rsidR="00207521">
        <w:rPr>
          <w:rFonts w:cs="Arial"/>
        </w:rPr>
        <w:t>;</w:t>
      </w:r>
      <w:r w:rsidRPr="00C65967">
        <w:rPr>
          <w:rFonts w:cs="Arial"/>
        </w:rPr>
        <w:t xml:space="preserve"> </w:t>
      </w:r>
      <w:r w:rsidR="00207521">
        <w:rPr>
          <w:rFonts w:cs="Arial"/>
        </w:rPr>
        <w:t>also</w:t>
      </w:r>
      <w:r w:rsidR="00207521" w:rsidRPr="00C65967">
        <w:rPr>
          <w:rFonts w:cs="Arial"/>
        </w:rPr>
        <w:t xml:space="preserve"> </w:t>
      </w:r>
      <w:r w:rsidRPr="00C65967">
        <w:rPr>
          <w:rFonts w:cs="Arial"/>
        </w:rPr>
        <w:t>that the current labelling regulations are compatible with the evidence base for the NHMRC infant feeding guidelines. As the decision to retain the current labelling requirements has been made on the basis that no benefits are likely from a change from the status quo, no consideration of the costs or more complex economic analysis is necessary.</w:t>
      </w:r>
    </w:p>
    <w:p w:rsidR="004B7D56" w:rsidRDefault="004B7D56" w:rsidP="00E60C2A">
      <w:pPr>
        <w:pStyle w:val="Heading3"/>
      </w:pPr>
      <w:bookmarkStart w:id="33" w:name="_Toc395777851"/>
      <w:bookmarkStart w:id="34" w:name="_Toc400022179"/>
      <w:r>
        <w:t>2.3.3</w:t>
      </w:r>
      <w:r>
        <w:tab/>
        <w:t>Risk management conclusion</w:t>
      </w:r>
      <w:bookmarkEnd w:id="33"/>
      <w:bookmarkEnd w:id="34"/>
    </w:p>
    <w:p w:rsidR="004B7D56" w:rsidRPr="008603E3" w:rsidRDefault="004B7D56" w:rsidP="001B6F44">
      <w:r w:rsidRPr="008603E3">
        <w:rPr>
          <w:szCs w:val="22"/>
        </w:rPr>
        <w:t xml:space="preserve">FSANZ’s </w:t>
      </w:r>
      <w:r w:rsidRPr="008603E3">
        <w:rPr>
          <w:rFonts w:cs="Arial"/>
          <w:szCs w:val="22"/>
        </w:rPr>
        <w:t xml:space="preserve">assessment of the evidence does not support amending Standard 2.9.2. The assessment has not demonstrated </w:t>
      </w:r>
      <w:r>
        <w:rPr>
          <w:rFonts w:cs="Arial"/>
          <w:szCs w:val="22"/>
        </w:rPr>
        <w:t xml:space="preserve">an inconsistency </w:t>
      </w:r>
      <w:r w:rsidRPr="008603E3">
        <w:t xml:space="preserve">between </w:t>
      </w:r>
      <w:r>
        <w:t>the evidence for the Australian (</w:t>
      </w:r>
      <w:r w:rsidRPr="008603E3">
        <w:t>NHMRC</w:t>
      </w:r>
      <w:r>
        <w:t xml:space="preserve">) and New Zealand </w:t>
      </w:r>
      <w:r w:rsidRPr="008603E3">
        <w:t xml:space="preserve">infant feeding </w:t>
      </w:r>
      <w:r>
        <w:t>guidelines, and</w:t>
      </w:r>
      <w:r w:rsidRPr="008603E3">
        <w:t xml:space="preserve"> </w:t>
      </w:r>
      <w:r>
        <w:t xml:space="preserve">the </w:t>
      </w:r>
      <w:r w:rsidRPr="008603E3">
        <w:t xml:space="preserve">minimum age labelling requirements on infant food, so </w:t>
      </w:r>
      <w:r>
        <w:t xml:space="preserve">there is no </w:t>
      </w:r>
      <w:r w:rsidRPr="008603E3">
        <w:t>problem that requires a regulatory solution.</w:t>
      </w:r>
    </w:p>
    <w:p w:rsidR="004B7D56" w:rsidRDefault="004B7D56" w:rsidP="001B6F44">
      <w:pPr>
        <w:rPr>
          <w:rFonts w:cs="Arial"/>
          <w:szCs w:val="22"/>
        </w:rPr>
      </w:pPr>
    </w:p>
    <w:p w:rsidR="004B7D56" w:rsidRDefault="004B7D56" w:rsidP="001B6F44">
      <w:pPr>
        <w:rPr>
          <w:szCs w:val="22"/>
        </w:rPr>
      </w:pPr>
      <w:r>
        <w:rPr>
          <w:rFonts w:cs="Arial"/>
          <w:szCs w:val="22"/>
        </w:rPr>
        <w:t xml:space="preserve">Therefore, </w:t>
      </w:r>
      <w:r w:rsidRPr="00333C18">
        <w:rPr>
          <w:szCs w:val="22"/>
        </w:rPr>
        <w:t>the current regulatory requirements</w:t>
      </w:r>
      <w:r>
        <w:rPr>
          <w:szCs w:val="22"/>
        </w:rPr>
        <w:t xml:space="preserve"> remain appropriate and n</w:t>
      </w:r>
      <w:r w:rsidRPr="00333C18">
        <w:rPr>
          <w:szCs w:val="22"/>
        </w:rPr>
        <w:t>o additional</w:t>
      </w:r>
      <w:r>
        <w:rPr>
          <w:szCs w:val="22"/>
        </w:rPr>
        <w:t xml:space="preserve"> risk management measures are required. </w:t>
      </w:r>
    </w:p>
    <w:p w:rsidR="002810FC" w:rsidRDefault="002810FC" w:rsidP="00E60C2A">
      <w:pPr>
        <w:rPr>
          <w:szCs w:val="22"/>
        </w:rPr>
      </w:pPr>
    </w:p>
    <w:p w:rsidR="004B7D56" w:rsidRDefault="004B7D56" w:rsidP="00E60C2A">
      <w:pPr>
        <w:rPr>
          <w:szCs w:val="22"/>
        </w:rPr>
      </w:pPr>
      <w:r>
        <w:rPr>
          <w:szCs w:val="22"/>
        </w:rPr>
        <w:t xml:space="preserve">The current labelling requirements </w:t>
      </w:r>
      <w:r w:rsidR="002A5838">
        <w:rPr>
          <w:szCs w:val="22"/>
        </w:rPr>
        <w:t xml:space="preserve">as prescribed in Standard 2.9.2 </w:t>
      </w:r>
      <w:r>
        <w:rPr>
          <w:szCs w:val="22"/>
        </w:rPr>
        <w:t>will be retained, including (among other things) that the</w:t>
      </w:r>
      <w:r w:rsidRPr="00682C0F">
        <w:rPr>
          <w:szCs w:val="22"/>
        </w:rPr>
        <w:t xml:space="preserve"> label on a package of food for infants</w:t>
      </w:r>
      <w:r>
        <w:rPr>
          <w:szCs w:val="22"/>
        </w:rPr>
        <w:t>:</w:t>
      </w:r>
      <w:r w:rsidRPr="00682C0F">
        <w:rPr>
          <w:szCs w:val="22"/>
        </w:rPr>
        <w:t xml:space="preserve"> </w:t>
      </w:r>
    </w:p>
    <w:p w:rsidR="00105084" w:rsidRPr="00682C0F" w:rsidRDefault="00105084" w:rsidP="001B6F44">
      <w:pPr>
        <w:ind w:left="567" w:hanging="567"/>
        <w:rPr>
          <w:szCs w:val="22"/>
        </w:rPr>
      </w:pPr>
    </w:p>
    <w:p w:rsidR="004B7D56" w:rsidRPr="00230316" w:rsidRDefault="00E60C2A" w:rsidP="00230316">
      <w:pPr>
        <w:pStyle w:val="FSBullet10"/>
      </w:pPr>
      <w:r w:rsidRPr="00230316">
        <w:t xml:space="preserve">must </w:t>
      </w:r>
      <w:r w:rsidR="004B7D56" w:rsidRPr="00230316">
        <w:t>indicate the minimum age, in numbers, of the infants for whom the food is recommended</w:t>
      </w:r>
    </w:p>
    <w:p w:rsidR="004B7D56" w:rsidRPr="00230316" w:rsidRDefault="00E60C2A" w:rsidP="00230316">
      <w:pPr>
        <w:pStyle w:val="FSBullet10"/>
      </w:pPr>
      <w:r w:rsidRPr="00230316">
        <w:t xml:space="preserve">must </w:t>
      </w:r>
      <w:r w:rsidR="004B7D56" w:rsidRPr="00230316">
        <w:t>not recommend that the food is suitable for infants &lt;4 months old</w:t>
      </w:r>
    </w:p>
    <w:p w:rsidR="004B7D56" w:rsidRPr="00230316" w:rsidRDefault="00E60C2A" w:rsidP="00230316">
      <w:pPr>
        <w:pStyle w:val="FSBullet10"/>
      </w:pPr>
      <w:r w:rsidRPr="00230316">
        <w:t xml:space="preserve">must </w:t>
      </w:r>
      <w:r w:rsidR="004B7D56" w:rsidRPr="00230316">
        <w:t>indicate the consistency of the food e.g. smooth, pur</w:t>
      </w:r>
      <w:r w:rsidR="00105084" w:rsidRPr="00230316">
        <w:t>é</w:t>
      </w:r>
      <w:r w:rsidR="004B7D56" w:rsidRPr="00230316">
        <w:t>ed</w:t>
      </w:r>
    </w:p>
    <w:p w:rsidR="00C73A0C" w:rsidRPr="00230316" w:rsidRDefault="00E60C2A" w:rsidP="00230316">
      <w:pPr>
        <w:pStyle w:val="FSBullet10"/>
      </w:pPr>
      <w:r w:rsidRPr="00230316">
        <w:t xml:space="preserve">must </w:t>
      </w:r>
      <w:r w:rsidR="004B7D56" w:rsidRPr="00230316">
        <w:t>include (if the food label refers to infants between the ages of 4–6 months), the warning statement ‘Not recommended for infants under the age of 4 months’, in association with the age</w:t>
      </w:r>
      <w:r w:rsidR="002A5838" w:rsidRPr="00230316">
        <w:t xml:space="preserve"> (</w:t>
      </w:r>
      <w:r w:rsidR="00C73A0C" w:rsidRPr="00230316">
        <w:t>of the infants for whom the food is recommended).</w:t>
      </w:r>
    </w:p>
    <w:p w:rsidR="004B7D56" w:rsidRPr="008C301D" w:rsidRDefault="004B7D56" w:rsidP="00A06A1E">
      <w:pPr>
        <w:pStyle w:val="Heading2"/>
      </w:pPr>
      <w:bookmarkStart w:id="35" w:name="_Toc395777852"/>
      <w:bookmarkStart w:id="36" w:name="_Toc400022180"/>
      <w:r>
        <w:t>2</w:t>
      </w:r>
      <w:r w:rsidRPr="008C301D">
        <w:t>.</w:t>
      </w:r>
      <w:r>
        <w:t>4</w:t>
      </w:r>
      <w:r w:rsidRPr="008C301D">
        <w:tab/>
        <w:t>Risk communication</w:t>
      </w:r>
      <w:bookmarkEnd w:id="35"/>
      <w:bookmarkEnd w:id="36"/>
      <w:r w:rsidRPr="008C301D">
        <w:t xml:space="preserve"> </w:t>
      </w:r>
    </w:p>
    <w:p w:rsidR="004B7D56" w:rsidRPr="005054D1" w:rsidRDefault="004B7D56" w:rsidP="00A06A1E">
      <w:pPr>
        <w:pStyle w:val="Heading3"/>
        <w:keepNext w:val="0"/>
      </w:pPr>
      <w:bookmarkStart w:id="37" w:name="_Toc395777853"/>
      <w:bookmarkStart w:id="38" w:name="_Toc400022181"/>
      <w:r w:rsidRPr="005054D1">
        <w:t>2.4.1</w:t>
      </w:r>
      <w:r w:rsidRPr="005054D1">
        <w:tab/>
        <w:t>Communication strategy</w:t>
      </w:r>
      <w:bookmarkEnd w:id="37"/>
      <w:bookmarkEnd w:id="38"/>
    </w:p>
    <w:p w:rsidR="004B7D56" w:rsidRPr="007D5495" w:rsidRDefault="004B7D56" w:rsidP="00A06A1E">
      <w:pPr>
        <w:rPr>
          <w:rFonts w:cs="Arial"/>
        </w:rPr>
      </w:pPr>
      <w:r w:rsidRPr="008D7438">
        <w:rPr>
          <w:rFonts w:cs="Arial"/>
        </w:rPr>
        <w:t xml:space="preserve">FSANZ prepared a communication strategy for this Proposal. FSANZ communicated about the Proposal both directly with stakeholders and through our website, publications, social media and </w:t>
      </w:r>
      <w:r w:rsidRPr="007D5495">
        <w:rPr>
          <w:rFonts w:cs="Arial"/>
        </w:rPr>
        <w:t>notification emails. All calls for submissions were notified through these channels</w:t>
      </w:r>
      <w:r w:rsidR="00105084">
        <w:rPr>
          <w:rFonts w:cs="Arial"/>
        </w:rPr>
        <w:t xml:space="preserve"> and the Notification Circular</w:t>
      </w:r>
      <w:r w:rsidRPr="007D5495">
        <w:rPr>
          <w:rFonts w:cs="Arial"/>
        </w:rPr>
        <w:t xml:space="preserve"> and were announced through media releases. </w:t>
      </w:r>
    </w:p>
    <w:p w:rsidR="004B7D56" w:rsidRPr="007D5495" w:rsidRDefault="004B7D56" w:rsidP="001B6F44">
      <w:pPr>
        <w:rPr>
          <w:rFonts w:cs="Arial"/>
        </w:rPr>
      </w:pPr>
    </w:p>
    <w:p w:rsidR="00E3252F" w:rsidRDefault="004B7D56" w:rsidP="001B6F44">
      <w:pPr>
        <w:rPr>
          <w:rFonts w:cs="Arial"/>
        </w:rPr>
      </w:pPr>
      <w:r w:rsidRPr="007D5495">
        <w:rPr>
          <w:rFonts w:cs="Arial"/>
        </w:rPr>
        <w:t xml:space="preserve">The process by which FSANZ considers standard matters is open, accountable, consultative and transparent. Public </w:t>
      </w:r>
      <w:r w:rsidRPr="006868C3">
        <w:rPr>
          <w:rFonts w:cs="Arial"/>
        </w:rPr>
        <w:t xml:space="preserve">submissions are called to obtain the views of interested parties on the draft variation to the Code. FSANZ places all related Proposal documents and submissions on the FSANZ website. All public comments received for this Proposal were reviewed and considered by the FSANZ Board. </w:t>
      </w:r>
    </w:p>
    <w:p w:rsidR="00E3252F" w:rsidRDefault="00E3252F" w:rsidP="001B6F44">
      <w:pPr>
        <w:rPr>
          <w:rFonts w:cs="Arial"/>
        </w:rPr>
      </w:pPr>
    </w:p>
    <w:p w:rsidR="00055B3D" w:rsidRDefault="004B7D56" w:rsidP="001B6F44">
      <w:pPr>
        <w:rPr>
          <w:rFonts w:cs="Arial"/>
        </w:rPr>
      </w:pPr>
      <w:r w:rsidRPr="006868C3">
        <w:rPr>
          <w:rFonts w:cs="Arial"/>
        </w:rPr>
        <w:t xml:space="preserve">This Report with supporting documents </w:t>
      </w:r>
      <w:r w:rsidR="00A06A1E">
        <w:rPr>
          <w:rFonts w:cs="Arial"/>
        </w:rPr>
        <w:t>is</w:t>
      </w:r>
      <w:r w:rsidR="00A06A1E" w:rsidRPr="006868C3">
        <w:rPr>
          <w:rFonts w:cs="Arial"/>
        </w:rPr>
        <w:t xml:space="preserve"> </w:t>
      </w:r>
      <w:r w:rsidRPr="006868C3">
        <w:rPr>
          <w:rFonts w:cs="Arial"/>
        </w:rPr>
        <w:t>available to all interested parties on the FSANZ website. Decisions about applications and proposals are also notified to interested stakeholders</w:t>
      </w:r>
      <w:r w:rsidRPr="007D5495">
        <w:rPr>
          <w:rFonts w:cs="Arial"/>
        </w:rPr>
        <w:t xml:space="preserve"> through email notifications and more broadly through Food Standards News.</w:t>
      </w:r>
      <w:r w:rsidR="00055B3D">
        <w:rPr>
          <w:rFonts w:cs="Arial"/>
        </w:rPr>
        <w:br w:type="page"/>
      </w:r>
    </w:p>
    <w:p w:rsidR="004B7D56" w:rsidRPr="00105084" w:rsidRDefault="004B7D56" w:rsidP="00E60C2A">
      <w:pPr>
        <w:pStyle w:val="Heading3"/>
      </w:pPr>
      <w:bookmarkStart w:id="39" w:name="_Toc395777854"/>
      <w:bookmarkStart w:id="40" w:name="_Toc400022182"/>
      <w:r w:rsidRPr="00CF4F6A">
        <w:lastRenderedPageBreak/>
        <w:t>2.4.2</w:t>
      </w:r>
      <w:r w:rsidRPr="00CF4F6A">
        <w:tab/>
        <w:t>Consultation</w:t>
      </w:r>
      <w:bookmarkEnd w:id="39"/>
      <w:bookmarkEnd w:id="40"/>
    </w:p>
    <w:p w:rsidR="004B7D56" w:rsidRDefault="004B7D56" w:rsidP="001B6F44">
      <w:pPr>
        <w:rPr>
          <w:szCs w:val="22"/>
        </w:rPr>
      </w:pPr>
      <w:r w:rsidRPr="00A670A7">
        <w:rPr>
          <w:szCs w:val="22"/>
        </w:rPr>
        <w:t xml:space="preserve">Consultation is a key part of FSANZ’s standards development process. </w:t>
      </w:r>
      <w:r>
        <w:rPr>
          <w:szCs w:val="22"/>
        </w:rPr>
        <w:t xml:space="preserve">This Proposal has involved considerable consultation over the years, both through public papers, and targeted meetings and communications with key stakeholder groups. Issues raised are discussed within the </w:t>
      </w:r>
      <w:r w:rsidR="00EC152F">
        <w:rPr>
          <w:szCs w:val="22"/>
        </w:rPr>
        <w:t xml:space="preserve">relevant </w:t>
      </w:r>
      <w:r>
        <w:rPr>
          <w:szCs w:val="22"/>
        </w:rPr>
        <w:t>Proposal reports available on the FSANZ website. In addition</w:t>
      </w:r>
      <w:r w:rsidRPr="00FA20C4">
        <w:rPr>
          <w:szCs w:val="22"/>
        </w:rPr>
        <w:t xml:space="preserve">, </w:t>
      </w:r>
      <w:r w:rsidR="00AA6FAC">
        <w:rPr>
          <w:szCs w:val="22"/>
        </w:rPr>
        <w:t xml:space="preserve">SD2 </w:t>
      </w:r>
      <w:r w:rsidRPr="00D574DE">
        <w:rPr>
          <w:szCs w:val="22"/>
        </w:rPr>
        <w:t>provides a summary of submi</w:t>
      </w:r>
      <w:r w:rsidR="00AA6FAC">
        <w:rPr>
          <w:szCs w:val="22"/>
        </w:rPr>
        <w:t xml:space="preserve">tter comments in response to the </w:t>
      </w:r>
      <w:r w:rsidR="00756546">
        <w:rPr>
          <w:szCs w:val="22"/>
        </w:rPr>
        <w:t>Consultation p</w:t>
      </w:r>
      <w:r w:rsidRPr="00D574DE">
        <w:rPr>
          <w:szCs w:val="22"/>
        </w:rPr>
        <w:t xml:space="preserve">aper in 2013. </w:t>
      </w:r>
    </w:p>
    <w:p w:rsidR="004B7D56" w:rsidRDefault="004B7D56" w:rsidP="001B6F44">
      <w:pPr>
        <w:rPr>
          <w:szCs w:val="22"/>
        </w:rPr>
      </w:pPr>
    </w:p>
    <w:p w:rsidR="004B7D56" w:rsidRDefault="004B7D56" w:rsidP="001B6F44">
      <w:pPr>
        <w:rPr>
          <w:szCs w:val="22"/>
        </w:rPr>
      </w:pPr>
      <w:r w:rsidRPr="00BE5DCF">
        <w:rPr>
          <w:szCs w:val="22"/>
        </w:rPr>
        <w:t xml:space="preserve">FSANZ acknowledges the time taken by individuals and organisations to </w:t>
      </w:r>
      <w:r>
        <w:rPr>
          <w:szCs w:val="22"/>
        </w:rPr>
        <w:t xml:space="preserve">provide information and </w:t>
      </w:r>
      <w:r w:rsidRPr="00BE5DCF">
        <w:rPr>
          <w:szCs w:val="22"/>
        </w:rPr>
        <w:t xml:space="preserve">make submissions on this Proposal. All comments are appreciated and contribute to our assessment. </w:t>
      </w:r>
    </w:p>
    <w:p w:rsidR="004B7D56" w:rsidRDefault="004B7D56" w:rsidP="001B6F44">
      <w:pPr>
        <w:pStyle w:val="Heading2"/>
      </w:pPr>
      <w:bookmarkStart w:id="41" w:name="_Toc395777855"/>
      <w:bookmarkStart w:id="42" w:name="_Toc400022183"/>
      <w:r>
        <w:t>2.5</w:t>
      </w:r>
      <w:r>
        <w:tab/>
        <w:t>FSANZ Act assessment requirements</w:t>
      </w:r>
      <w:bookmarkEnd w:id="41"/>
      <w:bookmarkEnd w:id="42"/>
    </w:p>
    <w:p w:rsidR="004B7D56" w:rsidRPr="00AB00FB" w:rsidRDefault="004B7D56" w:rsidP="001B6F44">
      <w:r w:rsidRPr="008C301D">
        <w:rPr>
          <w:rFonts w:cs="Arial"/>
        </w:rPr>
        <w:t xml:space="preserve">FSANZ has </w:t>
      </w:r>
      <w:r w:rsidRPr="008C301D">
        <w:t xml:space="preserve">considered the objectives in </w:t>
      </w:r>
      <w:r w:rsidRPr="00AB00FB">
        <w:t xml:space="preserve">subsection 10(1) and 10(2) of the FSANZ Act (as was in force prior to 1 July 2007) during the assessment of this Proposal as follows. </w:t>
      </w:r>
    </w:p>
    <w:p w:rsidR="004B7D56" w:rsidRPr="00AB00FB" w:rsidRDefault="004B7D56" w:rsidP="00E60C2A">
      <w:pPr>
        <w:pStyle w:val="Heading3"/>
      </w:pPr>
      <w:bookmarkStart w:id="43" w:name="_Toc395777856"/>
      <w:bookmarkStart w:id="44" w:name="_Toc400022184"/>
      <w:r w:rsidRPr="005054D1">
        <w:t>2.5.1</w:t>
      </w:r>
      <w:r w:rsidRPr="005054D1">
        <w:tab/>
      </w:r>
      <w:r w:rsidRPr="00AB00FB">
        <w:t>Subsection 10(1) considerations</w:t>
      </w:r>
      <w:bookmarkEnd w:id="43"/>
      <w:bookmarkEnd w:id="44"/>
    </w:p>
    <w:p w:rsidR="004B7D56" w:rsidRPr="009432FF" w:rsidRDefault="00105084" w:rsidP="00E60C2A">
      <w:pPr>
        <w:pStyle w:val="Heading4"/>
      </w:pPr>
      <w:r>
        <w:t>2.5.1.1</w:t>
      </w:r>
      <w:r>
        <w:tab/>
      </w:r>
      <w:r w:rsidR="004B7D56" w:rsidRPr="009432FF">
        <w:t>Protection of public health and safety</w:t>
      </w:r>
    </w:p>
    <w:p w:rsidR="003C446F" w:rsidRPr="009432FF" w:rsidRDefault="004B7D56" w:rsidP="001B6F44">
      <w:r w:rsidRPr="009432FF">
        <w:t xml:space="preserve">FSANZ’s risk assessment, including reference to the NHMRC assessment, has considered the </w:t>
      </w:r>
      <w:r w:rsidR="00C12A71" w:rsidRPr="009432FF">
        <w:t xml:space="preserve">health and safety of infants. As </w:t>
      </w:r>
      <w:r w:rsidR="0050184B" w:rsidRPr="009432FF">
        <w:t xml:space="preserve">the evidence </w:t>
      </w:r>
      <w:r w:rsidR="005509C4" w:rsidRPr="009432FF">
        <w:t xml:space="preserve">indicates </w:t>
      </w:r>
      <w:r w:rsidR="005509C4" w:rsidRPr="009432FF">
        <w:rPr>
          <w:rFonts w:cs="Arial"/>
          <w:szCs w:val="22"/>
        </w:rPr>
        <w:t>no increase in risk of harm to the health of infants from introducing solid food</w:t>
      </w:r>
      <w:r w:rsidR="00756546">
        <w:rPr>
          <w:rFonts w:cs="Arial"/>
          <w:szCs w:val="22"/>
        </w:rPr>
        <w:t>s</w:t>
      </w:r>
      <w:r w:rsidR="005509C4" w:rsidRPr="009432FF">
        <w:rPr>
          <w:rFonts w:cs="Arial"/>
          <w:szCs w:val="22"/>
        </w:rPr>
        <w:t xml:space="preserve"> from </w:t>
      </w:r>
      <w:r w:rsidR="00E45AC2">
        <w:rPr>
          <w:rFonts w:cs="Arial"/>
          <w:szCs w:val="22"/>
        </w:rPr>
        <w:t>‘</w:t>
      </w:r>
      <w:r w:rsidR="005509C4" w:rsidRPr="009432FF">
        <w:rPr>
          <w:rFonts w:cs="Arial"/>
          <w:szCs w:val="22"/>
        </w:rPr>
        <w:t>4 months</w:t>
      </w:r>
      <w:r w:rsidR="00F861A1">
        <w:rPr>
          <w:rFonts w:cs="Arial"/>
          <w:szCs w:val="22"/>
        </w:rPr>
        <w:t>’</w:t>
      </w:r>
      <w:r w:rsidR="005509C4" w:rsidRPr="009432FF">
        <w:rPr>
          <w:rFonts w:cs="Arial"/>
          <w:szCs w:val="22"/>
        </w:rPr>
        <w:t xml:space="preserve"> </w:t>
      </w:r>
      <w:r w:rsidR="00E45AC2">
        <w:rPr>
          <w:rFonts w:cs="Arial"/>
          <w:szCs w:val="22"/>
        </w:rPr>
        <w:t xml:space="preserve">of </w:t>
      </w:r>
      <w:r w:rsidR="00E45AC2" w:rsidRPr="00756546">
        <w:rPr>
          <w:rFonts w:cs="Arial"/>
          <w:szCs w:val="22"/>
        </w:rPr>
        <w:t>age relative to around</w:t>
      </w:r>
      <w:r w:rsidR="00E45AC2">
        <w:rPr>
          <w:rFonts w:cs="Arial"/>
          <w:szCs w:val="22"/>
        </w:rPr>
        <w:t xml:space="preserve"> ‘6 months’ of age,</w:t>
      </w:r>
      <w:r w:rsidR="005509C4" w:rsidRPr="009432FF">
        <w:t xml:space="preserve"> m</w:t>
      </w:r>
      <w:r w:rsidRPr="009432FF">
        <w:t>aintaining the status quo will continue to protect the health and safety of infants in the age group relevant to this Proposal.</w:t>
      </w:r>
    </w:p>
    <w:p w:rsidR="004B7D56" w:rsidRPr="00A670A7" w:rsidRDefault="00105084" w:rsidP="003C446F">
      <w:pPr>
        <w:pStyle w:val="Heading4"/>
        <w:keepNext/>
        <w:keepLines/>
      </w:pPr>
      <w:r>
        <w:t>2.5.1.2</w:t>
      </w:r>
      <w:r>
        <w:tab/>
      </w:r>
      <w:r w:rsidR="004B7D56" w:rsidRPr="00A670A7">
        <w:t>The provision of adequate information relating to food to enable consumers to make informed choices</w:t>
      </w:r>
    </w:p>
    <w:p w:rsidR="004B7D56" w:rsidRPr="009432FF" w:rsidRDefault="004B7D56" w:rsidP="00A06A1E">
      <w:pPr>
        <w:rPr>
          <w:lang w:val="en-AU"/>
        </w:rPr>
      </w:pPr>
      <w:r w:rsidRPr="00BD348C">
        <w:rPr>
          <w:rFonts w:cs="Arial"/>
        </w:rPr>
        <w:t xml:space="preserve">As </w:t>
      </w:r>
      <w:r w:rsidRPr="009432FF">
        <w:rPr>
          <w:rFonts w:cs="Arial"/>
        </w:rPr>
        <w:t>there will be no change to the current Standard, infant food labels will continue to provide adequate information</w:t>
      </w:r>
      <w:r w:rsidRPr="009432FF">
        <w:rPr>
          <w:lang w:val="en-AU"/>
        </w:rPr>
        <w:t xml:space="preserve"> to parents/carers </w:t>
      </w:r>
      <w:r w:rsidR="005509C4" w:rsidRPr="009432FF">
        <w:rPr>
          <w:lang w:val="en-AU"/>
        </w:rPr>
        <w:t xml:space="preserve">so they can make an informed choice </w:t>
      </w:r>
      <w:r w:rsidRPr="009432FF">
        <w:rPr>
          <w:lang w:val="en-AU"/>
        </w:rPr>
        <w:t xml:space="preserve">in relation to the </w:t>
      </w:r>
      <w:r w:rsidR="005509C4" w:rsidRPr="009432FF">
        <w:rPr>
          <w:lang w:val="en-AU"/>
        </w:rPr>
        <w:t>age suitability and consistency of an infant food product</w:t>
      </w:r>
      <w:r w:rsidRPr="009432FF">
        <w:rPr>
          <w:rFonts w:cs="Arial"/>
        </w:rPr>
        <w:t>, as summarised in Section 2.3.3 above.</w:t>
      </w:r>
      <w:r w:rsidRPr="009432FF">
        <w:rPr>
          <w:lang w:val="en-AU"/>
        </w:rPr>
        <w:t xml:space="preserve"> The warning statement</w:t>
      </w:r>
      <w:r w:rsidR="009A0F48" w:rsidRPr="009432FF">
        <w:rPr>
          <w:lang w:val="en-AU"/>
        </w:rPr>
        <w:t>:</w:t>
      </w:r>
      <w:r w:rsidR="007E0B27" w:rsidRPr="009432FF">
        <w:rPr>
          <w:lang w:val="en-AU"/>
        </w:rPr>
        <w:t xml:space="preserve"> </w:t>
      </w:r>
      <w:r w:rsidR="007E0B27" w:rsidRPr="009432FF">
        <w:rPr>
          <w:i/>
          <w:lang w:val="en-AU"/>
        </w:rPr>
        <w:t>not recommended for infants under 4 months of age</w:t>
      </w:r>
      <w:r w:rsidR="007E0B27" w:rsidRPr="009432FF">
        <w:rPr>
          <w:lang w:val="en-AU"/>
        </w:rPr>
        <w:t xml:space="preserve">, </w:t>
      </w:r>
      <w:r w:rsidR="005509C4" w:rsidRPr="009432FF">
        <w:rPr>
          <w:lang w:val="en-AU"/>
        </w:rPr>
        <w:t xml:space="preserve">will be retained to </w:t>
      </w:r>
      <w:r w:rsidRPr="009432FF">
        <w:rPr>
          <w:lang w:val="en-AU"/>
        </w:rPr>
        <w:t>provide additional information</w:t>
      </w:r>
      <w:r w:rsidR="008965FD">
        <w:rPr>
          <w:lang w:val="en-AU"/>
        </w:rPr>
        <w:t xml:space="preserve">, </w:t>
      </w:r>
      <w:r w:rsidR="008965FD" w:rsidRPr="005249E4">
        <w:t>where the food is recommended for infants between the ages of 4</w:t>
      </w:r>
      <w:r w:rsidR="00FC05AA">
        <w:t>–</w:t>
      </w:r>
      <w:r w:rsidR="008965FD" w:rsidRPr="005249E4">
        <w:t>6</w:t>
      </w:r>
      <w:r w:rsidR="008965FD">
        <w:rPr>
          <w:rStyle w:val="FootnoteReference"/>
          <w:rFonts w:eastAsiaTheme="majorEastAsia"/>
        </w:rPr>
        <w:footnoteReference w:id="5"/>
      </w:r>
      <w:r w:rsidR="008965FD" w:rsidRPr="005249E4">
        <w:t xml:space="preserve"> months</w:t>
      </w:r>
      <w:r w:rsidRPr="009432FF">
        <w:rPr>
          <w:lang w:val="en-AU"/>
        </w:rPr>
        <w:t xml:space="preserve">. </w:t>
      </w:r>
    </w:p>
    <w:p w:rsidR="004B7D56" w:rsidRDefault="00105084" w:rsidP="00E60C2A">
      <w:pPr>
        <w:pStyle w:val="Heading4"/>
      </w:pPr>
      <w:r>
        <w:t>2.5.1.3</w:t>
      </w:r>
      <w:r>
        <w:tab/>
      </w:r>
      <w:r w:rsidR="004B7D56" w:rsidRPr="00A670A7">
        <w:t>The prevention of misleading or deceptive conduct</w:t>
      </w:r>
    </w:p>
    <w:p w:rsidR="004B7D56" w:rsidRPr="00BD348C" w:rsidRDefault="004B7D56" w:rsidP="001B6F44">
      <w:pPr>
        <w:rPr>
          <w:lang w:eastAsia="en-AU" w:bidi="ar-SA"/>
        </w:rPr>
      </w:pPr>
      <w:r>
        <w:rPr>
          <w:rFonts w:cs="Arial"/>
        </w:rPr>
        <w:t xml:space="preserve">Retaining the status quo will continue to provide clear labelling requirements for both manufacturers and enforcement agencies to avoid misleading or deceptive conduct. </w:t>
      </w:r>
      <w:r w:rsidRPr="00BD348C">
        <w:rPr>
          <w:rFonts w:cs="Arial"/>
        </w:rPr>
        <w:t xml:space="preserve"> </w:t>
      </w:r>
    </w:p>
    <w:p w:rsidR="004B7D56" w:rsidRDefault="004B7D56" w:rsidP="00E60C2A">
      <w:pPr>
        <w:pStyle w:val="Heading3"/>
      </w:pPr>
      <w:bookmarkStart w:id="45" w:name="_Toc395777857"/>
      <w:bookmarkStart w:id="46" w:name="_Toc400022185"/>
      <w:r>
        <w:t>2.5.2</w:t>
      </w:r>
      <w:r>
        <w:tab/>
      </w:r>
      <w:r w:rsidRPr="00AB00FB">
        <w:t>Subsection 10(2) considerations</w:t>
      </w:r>
      <w:bookmarkEnd w:id="45"/>
      <w:bookmarkEnd w:id="46"/>
    </w:p>
    <w:p w:rsidR="00105084" w:rsidRDefault="004B7D56" w:rsidP="00756546">
      <w:pPr>
        <w:rPr>
          <w:rFonts w:cs="Arial"/>
        </w:rPr>
      </w:pPr>
      <w:r w:rsidRPr="008C301D">
        <w:rPr>
          <w:rFonts w:cs="Arial"/>
        </w:rPr>
        <w:t xml:space="preserve">FSANZ has also had regard to the objectives set out in subsection </w:t>
      </w:r>
      <w:r>
        <w:rPr>
          <w:rFonts w:cs="Arial"/>
        </w:rPr>
        <w:t>10</w:t>
      </w:r>
      <w:r w:rsidRPr="008C301D">
        <w:rPr>
          <w:rFonts w:cs="Arial"/>
        </w:rPr>
        <w:t>(2)</w:t>
      </w:r>
      <w:r>
        <w:rPr>
          <w:rFonts w:cs="Arial"/>
        </w:rPr>
        <w:t xml:space="preserve"> </w:t>
      </w:r>
      <w:r w:rsidRPr="00AD7E8A">
        <w:t xml:space="preserve">of </w:t>
      </w:r>
      <w:r w:rsidRPr="0033459B">
        <w:t xml:space="preserve">the FSANZ Act </w:t>
      </w:r>
      <w:r>
        <w:t>(as was in force prior to 1 July 2007)</w:t>
      </w:r>
      <w:r w:rsidRPr="008C301D">
        <w:rPr>
          <w:rFonts w:cs="Arial"/>
        </w:rPr>
        <w:t>:</w:t>
      </w:r>
    </w:p>
    <w:p w:rsidR="00756546" w:rsidRPr="008C301D" w:rsidRDefault="00756546" w:rsidP="00756546">
      <w:pPr>
        <w:rPr>
          <w:rFonts w:cs="Arial"/>
        </w:rPr>
      </w:pPr>
    </w:p>
    <w:p w:rsidR="004B7D56" w:rsidRPr="00E60C2A" w:rsidRDefault="004B7D56" w:rsidP="00230316">
      <w:pPr>
        <w:pStyle w:val="FSBullet"/>
        <w:rPr>
          <w:lang w:bidi="ar-SA"/>
        </w:rPr>
      </w:pPr>
      <w:r w:rsidRPr="00E60C2A">
        <w:rPr>
          <w:lang w:bidi="ar-SA"/>
        </w:rPr>
        <w:t>the need for standards to be based on risk analysis using the best available scientific evidence</w:t>
      </w:r>
      <w:r w:rsidR="00E3252F" w:rsidRPr="00E60C2A">
        <w:rPr>
          <w:lang w:bidi="ar-SA"/>
        </w:rPr>
        <w:t>.</w:t>
      </w:r>
    </w:p>
    <w:p w:rsidR="004B7D56" w:rsidRPr="00A670A7" w:rsidRDefault="004B7D56" w:rsidP="00756546">
      <w:pPr>
        <w:rPr>
          <w:lang w:bidi="ar-SA"/>
        </w:rPr>
      </w:pPr>
    </w:p>
    <w:p w:rsidR="00055B3D" w:rsidRDefault="004B7D56" w:rsidP="00756546">
      <w:r>
        <w:rPr>
          <w:lang w:bidi="ar-SA"/>
        </w:rPr>
        <w:t xml:space="preserve">FSANZ </w:t>
      </w:r>
      <w:r w:rsidR="00F861A1">
        <w:rPr>
          <w:lang w:bidi="ar-SA"/>
        </w:rPr>
        <w:t xml:space="preserve">prepared </w:t>
      </w:r>
      <w:r w:rsidR="00E3252F">
        <w:rPr>
          <w:lang w:bidi="ar-SA"/>
        </w:rPr>
        <w:t xml:space="preserve">four </w:t>
      </w:r>
      <w:r>
        <w:rPr>
          <w:lang w:bidi="ar-SA"/>
        </w:rPr>
        <w:t>risk assessments</w:t>
      </w:r>
      <w:r w:rsidR="00FD5F89">
        <w:rPr>
          <w:lang w:bidi="ar-SA"/>
        </w:rPr>
        <w:t xml:space="preserve"> between 2003 and 2014</w:t>
      </w:r>
      <w:r>
        <w:t xml:space="preserve">. </w:t>
      </w:r>
      <w:r w:rsidR="00055B3D">
        <w:br w:type="page"/>
      </w:r>
    </w:p>
    <w:p w:rsidR="004B7D56" w:rsidRDefault="004B7D56" w:rsidP="00756546">
      <w:r>
        <w:lastRenderedPageBreak/>
        <w:t xml:space="preserve">The 2013 and 2014 assessments focussed largely on new evidence and new matters raised during consultation. </w:t>
      </w:r>
      <w:r>
        <w:rPr>
          <w:lang w:bidi="ar-SA"/>
        </w:rPr>
        <w:t xml:space="preserve">In addition, the assessment undertaken by the NHMRC as the basis of the </w:t>
      </w:r>
      <w:r w:rsidR="00FD5F89">
        <w:rPr>
          <w:lang w:bidi="ar-SA"/>
        </w:rPr>
        <w:t xml:space="preserve">2013 </w:t>
      </w:r>
      <w:r>
        <w:rPr>
          <w:lang w:bidi="ar-SA"/>
        </w:rPr>
        <w:t xml:space="preserve">infant feeding guidelines for Australia has been considered. </w:t>
      </w:r>
      <w:r w:rsidR="00F861A1">
        <w:t xml:space="preserve">Our </w:t>
      </w:r>
      <w:r>
        <w:t>ongoing assessment over time ensured the best available evidence was considered.</w:t>
      </w:r>
    </w:p>
    <w:p w:rsidR="004B7D56" w:rsidRPr="00A670A7" w:rsidRDefault="004B7D56" w:rsidP="00756546">
      <w:pPr>
        <w:rPr>
          <w:lang w:bidi="ar-SA"/>
        </w:rPr>
      </w:pPr>
    </w:p>
    <w:p w:rsidR="004B7D56" w:rsidRPr="00E60C2A" w:rsidRDefault="004B7D56" w:rsidP="00230316">
      <w:pPr>
        <w:pStyle w:val="FSBullet10"/>
        <w:rPr>
          <w:lang w:bidi="ar-SA"/>
        </w:rPr>
      </w:pPr>
      <w:r w:rsidRPr="00E60C2A">
        <w:rPr>
          <w:lang w:bidi="ar-SA"/>
        </w:rPr>
        <w:t>the promotion of consistency between domestic and international food standards</w:t>
      </w:r>
    </w:p>
    <w:p w:rsidR="00F05ABB" w:rsidRDefault="004B7D56" w:rsidP="00230316">
      <w:pPr>
        <w:pStyle w:val="FSBullet10"/>
      </w:pPr>
      <w:r w:rsidRPr="00E60C2A">
        <w:t>the desirability of an efficient and internationally competitive food industry</w:t>
      </w:r>
    </w:p>
    <w:p w:rsidR="00230316" w:rsidRPr="00230316" w:rsidRDefault="00230316" w:rsidP="00230316"/>
    <w:p w:rsidR="00F05ABB" w:rsidRPr="00A670A7" w:rsidRDefault="00F05ABB" w:rsidP="00230316">
      <w:pPr>
        <w:pStyle w:val="FSBullet10"/>
        <w:numPr>
          <w:ilvl w:val="0"/>
          <w:numId w:val="0"/>
        </w:numPr>
        <w:rPr>
          <w:lang w:bidi="ar-SA"/>
        </w:rPr>
      </w:pPr>
      <w:r>
        <w:rPr>
          <w:lang w:bidi="ar-SA"/>
        </w:rPr>
        <w:t xml:space="preserve">As no amendment to Standard 2.9.2 is proposed, there </w:t>
      </w:r>
      <w:r w:rsidR="00F861A1">
        <w:rPr>
          <w:lang w:bidi="ar-SA"/>
        </w:rPr>
        <w:t>is</w:t>
      </w:r>
      <w:r>
        <w:rPr>
          <w:lang w:bidi="ar-SA"/>
        </w:rPr>
        <w:t xml:space="preserve"> no impact on the food</w:t>
      </w:r>
      <w:r w:rsidR="00C145AD">
        <w:rPr>
          <w:lang w:bidi="ar-SA"/>
        </w:rPr>
        <w:t xml:space="preserve"> industry.</w:t>
      </w:r>
      <w:r>
        <w:rPr>
          <w:lang w:bidi="ar-SA"/>
        </w:rPr>
        <w:t xml:space="preserve">  </w:t>
      </w:r>
    </w:p>
    <w:p w:rsidR="004B7D56" w:rsidRPr="00E60C2A" w:rsidRDefault="004B7D56" w:rsidP="00230316">
      <w:pPr>
        <w:pStyle w:val="FSBullet10"/>
        <w:numPr>
          <w:ilvl w:val="0"/>
          <w:numId w:val="0"/>
        </w:numPr>
      </w:pPr>
    </w:p>
    <w:p w:rsidR="004B7D56" w:rsidRPr="00E60C2A" w:rsidRDefault="004B7D56" w:rsidP="00230316">
      <w:pPr>
        <w:pStyle w:val="FSBullet10"/>
      </w:pPr>
      <w:r w:rsidRPr="00E60C2A">
        <w:t>the promotion of fair trading in food</w:t>
      </w:r>
      <w:r w:rsidR="00E3252F" w:rsidRPr="00E60C2A">
        <w:t>.</w:t>
      </w:r>
    </w:p>
    <w:p w:rsidR="004B7D56" w:rsidRDefault="004B7D56" w:rsidP="001B6F44">
      <w:pPr>
        <w:rPr>
          <w:lang w:bidi="ar-SA"/>
        </w:rPr>
      </w:pPr>
    </w:p>
    <w:p w:rsidR="004B7D56" w:rsidRPr="00A670A7" w:rsidRDefault="00F05ABB" w:rsidP="001B6F44">
      <w:pPr>
        <w:rPr>
          <w:lang w:bidi="ar-SA"/>
        </w:rPr>
      </w:pPr>
      <w:r>
        <w:rPr>
          <w:rFonts w:cs="Arial"/>
          <w:lang w:bidi="ar-SA"/>
        </w:rPr>
        <w:t>Not relevant.</w:t>
      </w:r>
    </w:p>
    <w:p w:rsidR="004B7D56" w:rsidRPr="00A670A7" w:rsidRDefault="004B7D56" w:rsidP="001B6F44">
      <w:pPr>
        <w:rPr>
          <w:lang w:bidi="ar-SA"/>
        </w:rPr>
      </w:pPr>
    </w:p>
    <w:p w:rsidR="004B7D56" w:rsidRPr="00E60C2A" w:rsidRDefault="004B7D56" w:rsidP="00230316">
      <w:pPr>
        <w:pStyle w:val="FSBullet"/>
      </w:pPr>
      <w:r w:rsidRPr="00E60C2A">
        <w:t xml:space="preserve">any written policy guidelines formulated by the Ministerial </w:t>
      </w:r>
      <w:r w:rsidR="00105084" w:rsidRPr="00A670A7">
        <w:t>Council</w:t>
      </w:r>
      <w:r w:rsidR="00105084" w:rsidRPr="00A670A7">
        <w:rPr>
          <w:vertAlign w:val="superscript"/>
        </w:rPr>
        <w:footnoteReference w:id="6"/>
      </w:r>
    </w:p>
    <w:p w:rsidR="004B7D56" w:rsidRPr="00A670A7" w:rsidRDefault="004B7D56" w:rsidP="001B6F44">
      <w:pPr>
        <w:rPr>
          <w:lang w:bidi="ar-SA"/>
        </w:rPr>
      </w:pPr>
    </w:p>
    <w:p w:rsidR="004B7D56" w:rsidRPr="00E01512" w:rsidRDefault="004B7D56" w:rsidP="001B6F44">
      <w:pPr>
        <w:autoSpaceDE w:val="0"/>
        <w:autoSpaceDN w:val="0"/>
        <w:adjustRightInd w:val="0"/>
        <w:rPr>
          <w:rFonts w:cs="Arial"/>
          <w:szCs w:val="22"/>
        </w:rPr>
      </w:pPr>
      <w:r w:rsidRPr="00E01512">
        <w:t xml:space="preserve">There are no specific policy </w:t>
      </w:r>
      <w:r w:rsidRPr="00E01512">
        <w:rPr>
          <w:rFonts w:cs="Arial"/>
          <w:szCs w:val="22"/>
        </w:rPr>
        <w:t xml:space="preserve">guidelines </w:t>
      </w:r>
      <w:r>
        <w:rPr>
          <w:rFonts w:cs="Arial"/>
          <w:szCs w:val="22"/>
        </w:rPr>
        <w:t>for</w:t>
      </w:r>
      <w:r w:rsidRPr="00E01512">
        <w:rPr>
          <w:rFonts w:cs="Arial"/>
          <w:szCs w:val="22"/>
        </w:rPr>
        <w:t xml:space="preserve"> infant food. </w:t>
      </w:r>
    </w:p>
    <w:p w:rsidR="004B7D56" w:rsidRDefault="004B7D56" w:rsidP="00E60C2A">
      <w:pPr>
        <w:pStyle w:val="Heading3"/>
      </w:pPr>
      <w:bookmarkStart w:id="47" w:name="_Toc395777858"/>
      <w:bookmarkStart w:id="48" w:name="_Toc400022186"/>
      <w:r>
        <w:t>2.5.3</w:t>
      </w:r>
      <w:r>
        <w:tab/>
      </w:r>
      <w:r w:rsidRPr="00B9252D">
        <w:t>Any other relevant matters</w:t>
      </w:r>
      <w:bookmarkEnd w:id="47"/>
      <w:bookmarkEnd w:id="48"/>
      <w:r>
        <w:t xml:space="preserve"> </w:t>
      </w:r>
    </w:p>
    <w:p w:rsidR="004B7D56" w:rsidRPr="0052131F" w:rsidRDefault="004B7D56" w:rsidP="001B6F44">
      <w:pPr>
        <w:rPr>
          <w:lang w:bidi="ar-SA"/>
        </w:rPr>
      </w:pPr>
      <w:r w:rsidRPr="004175DB">
        <w:rPr>
          <w:lang w:bidi="ar-SA"/>
        </w:rPr>
        <w:t>No other matters are relevant to rejection of the draft variation.</w:t>
      </w:r>
    </w:p>
    <w:p w:rsidR="004B7D56" w:rsidRPr="00FF69A6" w:rsidRDefault="004B7D56" w:rsidP="0040068B">
      <w:pPr>
        <w:pStyle w:val="Heading4"/>
        <w:keepNext/>
        <w:keepLines/>
      </w:pPr>
      <w:r w:rsidRPr="00FF69A6">
        <w:t>2.5.</w:t>
      </w:r>
      <w:r>
        <w:t>3.1</w:t>
      </w:r>
      <w:r w:rsidRPr="00FF69A6">
        <w:tab/>
        <w:t>Any relevant New Zealand standards.</w:t>
      </w:r>
    </w:p>
    <w:p w:rsidR="004B7D56" w:rsidRPr="00FF69A6" w:rsidRDefault="004B7D56" w:rsidP="0040068B">
      <w:pPr>
        <w:keepNext/>
        <w:keepLines/>
        <w:ind w:left="567" w:hanging="567"/>
        <w:rPr>
          <w:rFonts w:eastAsia="Calibri"/>
          <w:szCs w:val="20"/>
        </w:rPr>
      </w:pPr>
      <w:r w:rsidRPr="0038142F">
        <w:rPr>
          <w:rFonts w:eastAsia="Calibri"/>
          <w:color w:val="00B050"/>
          <w:szCs w:val="20"/>
        </w:rPr>
        <w:t xml:space="preserve"> </w:t>
      </w:r>
      <w:r w:rsidRPr="00FF69A6">
        <w:rPr>
          <w:rFonts w:eastAsia="Calibri"/>
          <w:szCs w:val="20"/>
        </w:rPr>
        <w:t xml:space="preserve">There is no relevant New Zealand </w:t>
      </w:r>
      <w:r w:rsidR="00E60C2A">
        <w:rPr>
          <w:rFonts w:eastAsia="Calibri"/>
          <w:szCs w:val="20"/>
        </w:rPr>
        <w:t xml:space="preserve">only </w:t>
      </w:r>
      <w:r w:rsidRPr="00FF69A6">
        <w:rPr>
          <w:rFonts w:eastAsia="Calibri"/>
          <w:szCs w:val="20"/>
        </w:rPr>
        <w:t>standard.</w:t>
      </w:r>
    </w:p>
    <w:p w:rsidR="004B7D56" w:rsidRPr="008C301D" w:rsidRDefault="004B7D56" w:rsidP="001B6F44">
      <w:pPr>
        <w:pStyle w:val="Heading1"/>
        <w:ind w:left="567" w:hanging="567"/>
      </w:pPr>
      <w:bookmarkStart w:id="49" w:name="_Toc395777859"/>
      <w:bookmarkStart w:id="50" w:name="_Toc400022187"/>
      <w:r>
        <w:t>3</w:t>
      </w:r>
      <w:r w:rsidRPr="008C301D">
        <w:tab/>
        <w:t>Rights of review</w:t>
      </w:r>
      <w:bookmarkEnd w:id="49"/>
      <w:bookmarkEnd w:id="50"/>
    </w:p>
    <w:p w:rsidR="008425B5" w:rsidRDefault="008425B5" w:rsidP="008425B5">
      <w:pPr>
        <w:rPr>
          <w:rFonts w:cs="Arial"/>
        </w:rPr>
      </w:pPr>
      <w:bookmarkStart w:id="51" w:name="_Toc395777860"/>
      <w:r>
        <w:rPr>
          <w:rFonts w:cs="Arial"/>
        </w:rPr>
        <w:t xml:space="preserve">The </w:t>
      </w:r>
      <w:r>
        <w:rPr>
          <w:rFonts w:cs="Arial"/>
          <w:i/>
        </w:rPr>
        <w:t>Food Standards Australia New Zealand Act 1991</w:t>
      </w:r>
      <w:r>
        <w:rPr>
          <w:rFonts w:cs="Arial"/>
        </w:rPr>
        <w:t xml:space="preserve"> (as in force prior to 1 July 2007) does not provide a right of review in relation to a decision by the Board under section 18 to reject a draft variation arising out of a proposal.</w:t>
      </w:r>
    </w:p>
    <w:p w:rsidR="004B7D56" w:rsidRDefault="004B7D56" w:rsidP="001B6F44">
      <w:pPr>
        <w:pStyle w:val="Heading1"/>
      </w:pPr>
      <w:bookmarkStart w:id="52" w:name="_Toc400022188"/>
      <w:r>
        <w:t>4</w:t>
      </w:r>
      <w:r>
        <w:tab/>
      </w:r>
      <w:r w:rsidRPr="005C0BD0">
        <w:t>References</w:t>
      </w:r>
      <w:bookmarkEnd w:id="51"/>
      <w:bookmarkEnd w:id="52"/>
    </w:p>
    <w:p w:rsidR="004B7D56" w:rsidRPr="00E60C2A" w:rsidRDefault="004B7D56" w:rsidP="001B6F44">
      <w:pPr>
        <w:rPr>
          <w:sz w:val="20"/>
          <w:lang w:bidi="ar-SA"/>
        </w:rPr>
      </w:pPr>
      <w:r w:rsidRPr="00E60C2A">
        <w:rPr>
          <w:sz w:val="20"/>
          <w:lang w:bidi="ar-SA"/>
        </w:rPr>
        <w:t>Australian Institute of Health and Welfare (2011) 2010 Australian National Infant Feeding Survey. AIHW, Canberra.</w:t>
      </w:r>
    </w:p>
    <w:p w:rsidR="004B7D56" w:rsidRPr="00E60C2A" w:rsidRDefault="00A33B18" w:rsidP="001B6F44">
      <w:pPr>
        <w:rPr>
          <w:sz w:val="20"/>
          <w:lang w:bidi="ar-SA"/>
        </w:rPr>
      </w:pPr>
      <w:hyperlink r:id="rId18" w:history="1">
        <w:r w:rsidR="004B7D56" w:rsidRPr="00E60C2A">
          <w:rPr>
            <w:rStyle w:val="Hyperlink"/>
            <w:sz w:val="20"/>
            <w:lang w:bidi="ar-SA"/>
          </w:rPr>
          <w:t>http://www.aihw.gov.au/publication-detail/?id=10737420927</w:t>
        </w:r>
      </w:hyperlink>
    </w:p>
    <w:p w:rsidR="004B7D56" w:rsidRPr="00E60C2A" w:rsidRDefault="004B7D56" w:rsidP="001B6F44">
      <w:pPr>
        <w:rPr>
          <w:sz w:val="20"/>
          <w:u w:val="single"/>
          <w:lang w:bidi="ar-SA"/>
        </w:rPr>
      </w:pPr>
    </w:p>
    <w:p w:rsidR="004B7D56" w:rsidRPr="00E60C2A" w:rsidRDefault="004B7D56" w:rsidP="001B6F44">
      <w:pPr>
        <w:rPr>
          <w:sz w:val="20"/>
          <w:lang w:bidi="ar-SA"/>
        </w:rPr>
      </w:pPr>
      <w:r w:rsidRPr="00E60C2A">
        <w:rPr>
          <w:sz w:val="20"/>
          <w:lang w:bidi="ar-SA"/>
        </w:rPr>
        <w:t>Kramer MS, Kakuma R (2002) Optimal duration of exclusive breastfeeding. Cochrane Database Syst Rev 1:CD003517</w:t>
      </w:r>
    </w:p>
    <w:p w:rsidR="004B7D56" w:rsidRPr="00E60C2A" w:rsidRDefault="004B7D56" w:rsidP="001B6F44">
      <w:pPr>
        <w:rPr>
          <w:sz w:val="20"/>
          <w:lang w:bidi="ar-SA"/>
        </w:rPr>
      </w:pPr>
    </w:p>
    <w:p w:rsidR="004B7D56" w:rsidRPr="00E60C2A" w:rsidRDefault="004B7D56" w:rsidP="001B6F44">
      <w:pPr>
        <w:rPr>
          <w:sz w:val="20"/>
          <w:lang w:bidi="ar-SA"/>
        </w:rPr>
      </w:pPr>
      <w:r w:rsidRPr="00E60C2A">
        <w:rPr>
          <w:sz w:val="20"/>
          <w:lang w:bidi="ar-SA"/>
        </w:rPr>
        <w:t>Kramer MS, Kakuma R (2012) Optimal duration of exclusive breastfeeding. Cochrane Database Syst Rev 8:CD003517</w:t>
      </w:r>
    </w:p>
    <w:p w:rsidR="004B7D56" w:rsidRPr="00E60C2A" w:rsidRDefault="004B7D56" w:rsidP="001B6F44">
      <w:pPr>
        <w:rPr>
          <w:sz w:val="20"/>
          <w:lang w:bidi="ar-SA"/>
        </w:rPr>
      </w:pPr>
    </w:p>
    <w:p w:rsidR="004B7D56" w:rsidRPr="00E60C2A" w:rsidRDefault="004B7D56" w:rsidP="00FB4BCA">
      <w:pPr>
        <w:rPr>
          <w:sz w:val="20"/>
          <w:lang w:bidi="ar-SA"/>
        </w:rPr>
      </w:pPr>
      <w:r w:rsidRPr="00E60C2A">
        <w:rPr>
          <w:sz w:val="20"/>
          <w:lang w:bidi="ar-SA"/>
        </w:rPr>
        <w:t>Ministry of Health (2008) Food and Nutrition Guidelines for Health</w:t>
      </w:r>
      <w:r w:rsidR="00C93C3A">
        <w:rPr>
          <w:sz w:val="20"/>
          <w:lang w:bidi="ar-SA"/>
        </w:rPr>
        <w:t>y</w:t>
      </w:r>
      <w:r w:rsidRPr="00E60C2A">
        <w:rPr>
          <w:sz w:val="20"/>
          <w:lang w:bidi="ar-SA"/>
        </w:rPr>
        <w:t xml:space="preserve"> Infants and Toddlers. New Zealand Ministry of Health, Wellington.</w:t>
      </w:r>
    </w:p>
    <w:p w:rsidR="004B7D56" w:rsidRPr="00E60C2A" w:rsidRDefault="00A33B18" w:rsidP="00FB4BCA">
      <w:pPr>
        <w:rPr>
          <w:sz w:val="20"/>
          <w:lang w:bidi="ar-SA"/>
        </w:rPr>
      </w:pPr>
      <w:hyperlink r:id="rId19" w:history="1">
        <w:r w:rsidR="004B7D56" w:rsidRPr="00E60C2A">
          <w:rPr>
            <w:rStyle w:val="Hyperlink"/>
            <w:sz w:val="20"/>
            <w:lang w:bidi="ar-SA"/>
          </w:rPr>
          <w:t>http://www.health.govt.nz/our-work/preventative-health-wellness/nutrition/food-and-nutrition-guidelines. Accessed 31 July 2014</w:t>
        </w:r>
      </w:hyperlink>
    </w:p>
    <w:p w:rsidR="004B7D56" w:rsidRPr="00E60C2A" w:rsidRDefault="004B7D56" w:rsidP="00FB4BCA">
      <w:pPr>
        <w:rPr>
          <w:sz w:val="20"/>
          <w:lang w:bidi="ar-SA"/>
        </w:rPr>
      </w:pPr>
    </w:p>
    <w:p w:rsidR="004B7D56" w:rsidRPr="00E60C2A" w:rsidRDefault="004B7D56" w:rsidP="00FB4BCA">
      <w:pPr>
        <w:rPr>
          <w:sz w:val="20"/>
          <w:lang w:bidi="ar-SA"/>
        </w:rPr>
      </w:pPr>
      <w:r w:rsidRPr="00E60C2A">
        <w:rPr>
          <w:sz w:val="20"/>
          <w:lang w:bidi="ar-SA"/>
        </w:rPr>
        <w:t>Ministry of Health (2012) The Health of New Zealand Children: Key findings of the New Zealand Health Survey 2011/12. Ministry of Health, Wellington.</w:t>
      </w:r>
    </w:p>
    <w:p w:rsidR="004B7D56" w:rsidRPr="00E60C2A" w:rsidRDefault="00A33B18" w:rsidP="001B6F44">
      <w:pPr>
        <w:rPr>
          <w:sz w:val="20"/>
          <w:lang w:bidi="ar-SA"/>
        </w:rPr>
      </w:pPr>
      <w:hyperlink r:id="rId20" w:history="1">
        <w:r w:rsidR="004B7D56" w:rsidRPr="00E60C2A">
          <w:rPr>
            <w:rStyle w:val="Hyperlink"/>
            <w:sz w:val="20"/>
            <w:lang w:bidi="ar-SA"/>
          </w:rPr>
          <w:t>http://www.health.govt.nz/publication/health-new-zealand-children-2011-12. Accessed 31 July 2014</w:t>
        </w:r>
      </w:hyperlink>
    </w:p>
    <w:p w:rsidR="00055B3D" w:rsidRDefault="00055B3D" w:rsidP="001B6F44">
      <w:pPr>
        <w:rPr>
          <w:sz w:val="20"/>
          <w:lang w:bidi="ar-SA"/>
        </w:rPr>
      </w:pPr>
      <w:r>
        <w:rPr>
          <w:sz w:val="20"/>
          <w:lang w:bidi="ar-SA"/>
        </w:rPr>
        <w:br w:type="page"/>
      </w:r>
    </w:p>
    <w:p w:rsidR="004B7D56" w:rsidRPr="00E60C2A" w:rsidRDefault="004B7D56" w:rsidP="001B6F44">
      <w:pPr>
        <w:rPr>
          <w:sz w:val="20"/>
          <w:lang w:bidi="ar-SA"/>
        </w:rPr>
      </w:pPr>
      <w:r w:rsidRPr="00E60C2A">
        <w:rPr>
          <w:sz w:val="20"/>
          <w:lang w:bidi="ar-SA"/>
        </w:rPr>
        <w:lastRenderedPageBreak/>
        <w:t>NHMRC (1995) Dietary guidelines for children and adolescents. National Health and Medical Research Council, Canberra.</w:t>
      </w:r>
    </w:p>
    <w:p w:rsidR="004B7D56" w:rsidRDefault="004B7D56" w:rsidP="001B6F44">
      <w:pPr>
        <w:rPr>
          <w:sz w:val="20"/>
          <w:lang w:bidi="ar-SA"/>
        </w:rPr>
      </w:pPr>
      <w:r w:rsidRPr="00E60C2A">
        <w:rPr>
          <w:sz w:val="20"/>
          <w:u w:val="single"/>
          <w:lang w:bidi="ar-SA"/>
        </w:rPr>
        <w:t>https://</w:t>
      </w:r>
      <w:hyperlink r:id="rId21" w:history="1">
        <w:r w:rsidRPr="00E60C2A">
          <w:rPr>
            <w:rStyle w:val="Hyperlink"/>
            <w:sz w:val="20"/>
            <w:lang w:bidi="ar-SA"/>
          </w:rPr>
          <w:t>www.nhmrc.gov.au/_files_nhmrc/publications/attachments/n1.pdf</w:t>
        </w:r>
      </w:hyperlink>
      <w:r w:rsidRPr="00E60C2A">
        <w:rPr>
          <w:sz w:val="20"/>
          <w:lang w:bidi="ar-SA"/>
        </w:rPr>
        <w:t>. Accessed 13 August 2014</w:t>
      </w:r>
    </w:p>
    <w:p w:rsidR="0047217E" w:rsidRDefault="0047217E" w:rsidP="001B6F44">
      <w:pPr>
        <w:rPr>
          <w:sz w:val="20"/>
          <w:lang w:bidi="ar-SA"/>
        </w:rPr>
      </w:pPr>
    </w:p>
    <w:p w:rsidR="0047217E" w:rsidRPr="0047217E" w:rsidRDefault="0047217E" w:rsidP="0047217E">
      <w:pPr>
        <w:tabs>
          <w:tab w:val="left" w:pos="0"/>
        </w:tabs>
        <w:rPr>
          <w:rFonts w:eastAsiaTheme="minorHAnsi" w:cs="Arial"/>
          <w:noProof/>
          <w:sz w:val="20"/>
          <w:szCs w:val="20"/>
          <w:lang w:bidi="ar-SA"/>
        </w:rPr>
      </w:pPr>
      <w:r w:rsidRPr="0047217E">
        <w:rPr>
          <w:rFonts w:eastAsiaTheme="minorHAnsi" w:cs="Arial"/>
          <w:noProof/>
          <w:sz w:val="20"/>
          <w:szCs w:val="20"/>
          <w:lang w:bidi="ar-SA"/>
        </w:rPr>
        <w:t>NHMRC (2003) Dietary Guidelines for Children and Adolescents in Australia. National Health and Medical Research Council, Canberra.</w:t>
      </w:r>
    </w:p>
    <w:p w:rsidR="0047217E" w:rsidRPr="0047217E" w:rsidRDefault="00A33B18" w:rsidP="0047217E">
      <w:pPr>
        <w:tabs>
          <w:tab w:val="left" w:pos="0"/>
        </w:tabs>
        <w:rPr>
          <w:rFonts w:eastAsiaTheme="minorHAnsi" w:cs="Arial"/>
          <w:noProof/>
          <w:sz w:val="20"/>
          <w:szCs w:val="20"/>
          <w:u w:val="single"/>
          <w:lang w:bidi="ar-SA"/>
        </w:rPr>
      </w:pPr>
      <w:hyperlink r:id="rId22" w:history="1">
        <w:r w:rsidR="0047217E" w:rsidRPr="0047217E">
          <w:rPr>
            <w:rFonts w:eastAsiaTheme="minorHAnsi" w:cs="Arial"/>
            <w:noProof/>
            <w:color w:val="0000FF" w:themeColor="hyperlink"/>
            <w:sz w:val="20"/>
            <w:szCs w:val="20"/>
            <w:u w:val="single"/>
            <w:lang w:bidi="ar-SA"/>
          </w:rPr>
          <w:t>http://www.nhmrc.gov.au/_files_nhmrc/publications/attachments/n34.pdf</w:t>
        </w:r>
      </w:hyperlink>
      <w:r w:rsidR="007F73E3">
        <w:rPr>
          <w:rFonts w:eastAsiaTheme="minorHAnsi" w:cs="Arial"/>
          <w:noProof/>
          <w:color w:val="0000FF" w:themeColor="hyperlink"/>
          <w:sz w:val="20"/>
          <w:szCs w:val="20"/>
          <w:u w:val="single"/>
          <w:lang w:bidi="ar-SA"/>
        </w:rPr>
        <w:t xml:space="preserve">  Accessed 31 July 2014</w:t>
      </w:r>
    </w:p>
    <w:p w:rsidR="004B7D56" w:rsidRPr="00E60C2A" w:rsidRDefault="004B7D56" w:rsidP="001B6F44">
      <w:pPr>
        <w:rPr>
          <w:sz w:val="20"/>
          <w:lang w:bidi="ar-SA"/>
        </w:rPr>
      </w:pPr>
    </w:p>
    <w:p w:rsidR="004B7D56" w:rsidRDefault="004B7D56" w:rsidP="001B6F44">
      <w:pPr>
        <w:rPr>
          <w:sz w:val="20"/>
          <w:lang w:bidi="ar-SA"/>
        </w:rPr>
      </w:pPr>
      <w:r w:rsidRPr="00E60C2A">
        <w:rPr>
          <w:sz w:val="20"/>
          <w:lang w:bidi="ar-SA"/>
        </w:rPr>
        <w:t>NHMRC (2012a) Infant Feeding Guidelines. National Health and Medical Research Council, Canberra.</w:t>
      </w:r>
    </w:p>
    <w:p w:rsidR="007F73E3" w:rsidRPr="00E60C2A" w:rsidRDefault="00A33B18" w:rsidP="001B6F44">
      <w:pPr>
        <w:rPr>
          <w:sz w:val="20"/>
          <w:lang w:bidi="ar-SA"/>
        </w:rPr>
      </w:pPr>
      <w:hyperlink r:id="rId23" w:history="1">
        <w:r w:rsidR="007F73E3" w:rsidRPr="007F73E3">
          <w:rPr>
            <w:rStyle w:val="Hyperlink"/>
            <w:sz w:val="20"/>
            <w:lang w:bidi="ar-SA"/>
          </w:rPr>
          <w:t>https://www.nhmrc.gov.au/_files_nhmrc/publications/attachments/n56_infant_feeding_guidelines.pdf</w:t>
        </w:r>
      </w:hyperlink>
    </w:p>
    <w:p w:rsidR="007F73E3" w:rsidRDefault="007F73E3" w:rsidP="001B6F44">
      <w:pPr>
        <w:rPr>
          <w:sz w:val="20"/>
          <w:lang w:bidi="ar-SA"/>
        </w:rPr>
      </w:pPr>
      <w:r>
        <w:rPr>
          <w:sz w:val="20"/>
          <w:lang w:bidi="ar-SA"/>
        </w:rPr>
        <w:t>Accessed 31 July 2014</w:t>
      </w:r>
    </w:p>
    <w:p w:rsidR="007F73E3" w:rsidRDefault="007F73E3" w:rsidP="001B6F44">
      <w:pPr>
        <w:rPr>
          <w:sz w:val="20"/>
          <w:lang w:bidi="ar-SA"/>
        </w:rPr>
      </w:pPr>
    </w:p>
    <w:p w:rsidR="004B7D56" w:rsidRPr="00E60C2A" w:rsidRDefault="004B7D56" w:rsidP="001B6F44">
      <w:pPr>
        <w:rPr>
          <w:sz w:val="20"/>
          <w:lang w:bidi="ar-SA"/>
        </w:rPr>
      </w:pPr>
      <w:r w:rsidRPr="00E60C2A">
        <w:rPr>
          <w:sz w:val="20"/>
          <w:lang w:bidi="ar-SA"/>
        </w:rPr>
        <w:t>NHMRC (2012b) Literature Review: Infant Feeding Guidelines. National Health and Medical Research Council, 2012.</w:t>
      </w:r>
    </w:p>
    <w:p w:rsidR="004B7D56" w:rsidRPr="00E60C2A" w:rsidRDefault="004B7D56" w:rsidP="001B6F44">
      <w:pPr>
        <w:rPr>
          <w:sz w:val="20"/>
          <w:lang w:bidi="ar-SA"/>
        </w:rPr>
      </w:pPr>
      <w:r w:rsidRPr="00E60C2A">
        <w:rPr>
          <w:sz w:val="20"/>
          <w:u w:val="single"/>
          <w:lang w:bidi="ar-SA"/>
        </w:rPr>
        <w:t>https://</w:t>
      </w:r>
      <w:hyperlink r:id="rId24" w:history="1">
        <w:r w:rsidRPr="00E60C2A">
          <w:rPr>
            <w:rStyle w:val="Hyperlink"/>
            <w:sz w:val="20"/>
            <w:lang w:bidi="ar-SA"/>
          </w:rPr>
          <w:t>www.nhmrc.gov.au/_files_nhmrc/publications/attachments/n56a_infant_feeding_literature_review.pdf</w:t>
        </w:r>
      </w:hyperlink>
      <w:r w:rsidRPr="00E60C2A">
        <w:rPr>
          <w:sz w:val="20"/>
          <w:lang w:bidi="ar-SA"/>
        </w:rPr>
        <w:t>. Accessed 31 July 2014</w:t>
      </w:r>
    </w:p>
    <w:p w:rsidR="004B7D56" w:rsidRPr="00E60C2A" w:rsidRDefault="004B7D56" w:rsidP="001B6F44">
      <w:pPr>
        <w:rPr>
          <w:sz w:val="20"/>
          <w:lang w:bidi="ar-SA"/>
        </w:rPr>
      </w:pPr>
    </w:p>
    <w:p w:rsidR="004B7D56" w:rsidRPr="00E60C2A" w:rsidRDefault="004B7D56" w:rsidP="001B6F44">
      <w:pPr>
        <w:rPr>
          <w:sz w:val="20"/>
          <w:lang w:bidi="ar-SA"/>
        </w:rPr>
      </w:pPr>
      <w:r w:rsidRPr="00E60C2A">
        <w:rPr>
          <w:sz w:val="20"/>
          <w:lang w:bidi="ar-SA"/>
        </w:rPr>
        <w:t>NHMRC (2013) Australian Dietary Guidelines. National Health and Medical Research Council, Canberra.</w:t>
      </w:r>
    </w:p>
    <w:p w:rsidR="004B7D56" w:rsidRPr="00E60C2A" w:rsidRDefault="004B7D56" w:rsidP="001B6F44">
      <w:pPr>
        <w:rPr>
          <w:sz w:val="20"/>
          <w:lang w:bidi="ar-SA"/>
        </w:rPr>
      </w:pPr>
      <w:r w:rsidRPr="00E60C2A">
        <w:rPr>
          <w:sz w:val="20"/>
          <w:u w:val="single"/>
          <w:lang w:bidi="ar-SA"/>
        </w:rPr>
        <w:t>https://</w:t>
      </w:r>
      <w:hyperlink r:id="rId25" w:history="1">
        <w:r w:rsidRPr="00E60C2A">
          <w:rPr>
            <w:rStyle w:val="Hyperlink"/>
            <w:sz w:val="20"/>
            <w:lang w:bidi="ar-SA"/>
          </w:rPr>
          <w:t>www.nhmrc.gov.au/_files_nhmrc/publications/attachments/n55_australian_dietary_guidelines_130530.pdf</w:t>
        </w:r>
      </w:hyperlink>
      <w:r w:rsidRPr="00E60C2A">
        <w:rPr>
          <w:sz w:val="20"/>
          <w:lang w:bidi="ar-SA"/>
        </w:rPr>
        <w:t>. Accessed 31 July 2014</w:t>
      </w:r>
    </w:p>
    <w:p w:rsidR="004B7D56" w:rsidRPr="00E60C2A" w:rsidRDefault="004B7D56" w:rsidP="001B6F44">
      <w:pPr>
        <w:rPr>
          <w:sz w:val="20"/>
          <w:lang w:bidi="ar-SA"/>
        </w:rPr>
      </w:pPr>
    </w:p>
    <w:p w:rsidR="004B7D56" w:rsidRPr="00E60C2A" w:rsidRDefault="004B7D56" w:rsidP="001B6F44">
      <w:pPr>
        <w:rPr>
          <w:sz w:val="20"/>
          <w:lang w:bidi="ar-SA"/>
        </w:rPr>
      </w:pPr>
      <w:r w:rsidRPr="00E60C2A">
        <w:rPr>
          <w:sz w:val="20"/>
          <w:lang w:bidi="ar-SA"/>
        </w:rPr>
        <w:t>Quigley MA, Kelly YJ, Sacker A (2009) Infant feeding, solid foods and hospitalisation in the first 8 months after birth. Arch Dis Child 94(2):148–150</w:t>
      </w:r>
    </w:p>
    <w:p w:rsidR="004B7D56" w:rsidRDefault="004B7D56" w:rsidP="00844148">
      <w:pPr>
        <w:pStyle w:val="Heading1"/>
        <w:keepNext w:val="0"/>
      </w:pPr>
      <w:bookmarkStart w:id="53" w:name="_Toc400022189"/>
      <w:r>
        <w:t>A</w:t>
      </w:r>
      <w:r w:rsidRPr="00AB79DF">
        <w:t>ttachment</w:t>
      </w:r>
      <w:r w:rsidR="001F1D91">
        <w:t>s</w:t>
      </w:r>
      <w:bookmarkEnd w:id="53"/>
    </w:p>
    <w:p w:rsidR="007F73E3" w:rsidRDefault="00105084" w:rsidP="00E60C2A">
      <w:pPr>
        <w:rPr>
          <w:rFonts w:cs="Arial"/>
        </w:rPr>
      </w:pPr>
      <w:r>
        <w:rPr>
          <w:rFonts w:cs="Arial"/>
        </w:rPr>
        <w:t>A.</w:t>
      </w:r>
      <w:r>
        <w:rPr>
          <w:rFonts w:cs="Arial"/>
        </w:rPr>
        <w:tab/>
      </w:r>
      <w:r w:rsidR="004B7D56" w:rsidRPr="00105084">
        <w:rPr>
          <w:rFonts w:cs="Arial"/>
        </w:rPr>
        <w:t xml:space="preserve">Draft Food Regulatory Measure </w:t>
      </w:r>
      <w:r>
        <w:rPr>
          <w:rFonts w:cs="Arial"/>
        </w:rPr>
        <w:t xml:space="preserve">(at Draft Assessment – </w:t>
      </w:r>
      <w:r w:rsidR="004B7D56" w:rsidRPr="00105084">
        <w:rPr>
          <w:rFonts w:cs="Arial"/>
        </w:rPr>
        <w:t>2004</w:t>
      </w:r>
      <w:r>
        <w:rPr>
          <w:rFonts w:cs="Arial"/>
        </w:rPr>
        <w:t>)</w:t>
      </w:r>
    </w:p>
    <w:p w:rsidR="007F73E3" w:rsidRPr="00105084" w:rsidRDefault="007F73E3" w:rsidP="00E60C2A">
      <w:pPr>
        <w:rPr>
          <w:rFonts w:cs="Arial"/>
        </w:rPr>
      </w:pPr>
    </w:p>
    <w:p w:rsidR="004B7D56" w:rsidRPr="00666889" w:rsidRDefault="004B7D56" w:rsidP="00105084">
      <w:pPr>
        <w:pStyle w:val="Heading2"/>
        <w:keepNext/>
        <w:keepLines/>
        <w:pageBreakBefore/>
        <w:ind w:left="0" w:firstLine="0"/>
        <w:jc w:val="left"/>
      </w:pPr>
      <w:bookmarkStart w:id="54" w:name="_Toc395777861"/>
      <w:bookmarkStart w:id="55" w:name="_Toc400022190"/>
      <w:r>
        <w:lastRenderedPageBreak/>
        <w:t xml:space="preserve">Attachment </w:t>
      </w:r>
      <w:r w:rsidR="00105084">
        <w:t>A</w:t>
      </w:r>
      <w:r w:rsidRPr="00CB5D88">
        <w:t xml:space="preserve"> – Draft variation to the </w:t>
      </w:r>
      <w:r w:rsidRPr="00EE32AF">
        <w:t xml:space="preserve">Australia New Zealand Food Standards </w:t>
      </w:r>
      <w:r w:rsidRPr="00666889">
        <w:t>Code (</w:t>
      </w:r>
      <w:r w:rsidR="00105084">
        <w:t xml:space="preserve">At Draft Assessment </w:t>
      </w:r>
      <w:r w:rsidR="00784537">
        <w:t>–</w:t>
      </w:r>
      <w:r w:rsidR="00105084">
        <w:t xml:space="preserve"> </w:t>
      </w:r>
      <w:r w:rsidRPr="00666889">
        <w:t>2004)</w:t>
      </w:r>
      <w:bookmarkEnd w:id="54"/>
      <w:bookmarkEnd w:id="55"/>
    </w:p>
    <w:p w:rsidR="004B7D56" w:rsidRDefault="004B7D56" w:rsidP="001B6F44">
      <w:pPr>
        <w:rPr>
          <w:b/>
          <w:bCs/>
        </w:rPr>
      </w:pPr>
      <w:r>
        <w:rPr>
          <w:b/>
          <w:bCs/>
        </w:rPr>
        <w:t>To commence: on gazettal</w:t>
      </w:r>
    </w:p>
    <w:p w:rsidR="004B7D56" w:rsidRDefault="004B7D56" w:rsidP="001B6F44"/>
    <w:p w:rsidR="004B7D56" w:rsidRPr="00220AE6" w:rsidRDefault="004B7D56" w:rsidP="001B6F44">
      <w:pPr>
        <w:tabs>
          <w:tab w:val="left" w:pos="840"/>
        </w:tabs>
        <w:rPr>
          <w:rFonts w:cs="Arial"/>
          <w:i/>
          <w:iCs/>
          <w:sz w:val="20"/>
          <w:szCs w:val="20"/>
        </w:rPr>
      </w:pPr>
      <w:r w:rsidRPr="00220AE6">
        <w:rPr>
          <w:rFonts w:cs="Arial"/>
          <w:b/>
          <w:bCs/>
          <w:sz w:val="20"/>
          <w:szCs w:val="20"/>
        </w:rPr>
        <w:t>[1]</w:t>
      </w:r>
      <w:r w:rsidRPr="00220AE6">
        <w:rPr>
          <w:rFonts w:cs="Arial"/>
          <w:b/>
          <w:bCs/>
          <w:sz w:val="20"/>
          <w:szCs w:val="20"/>
        </w:rPr>
        <w:tab/>
      </w:r>
      <w:r w:rsidRPr="00220AE6">
        <w:rPr>
          <w:rFonts w:cs="Arial"/>
          <w:b/>
          <w:bCs/>
          <w:i/>
          <w:iCs/>
          <w:sz w:val="20"/>
          <w:szCs w:val="20"/>
        </w:rPr>
        <w:t xml:space="preserve">Standard 1.1.1 </w:t>
      </w:r>
      <w:r w:rsidRPr="00220AE6">
        <w:rPr>
          <w:rFonts w:cs="Arial"/>
          <w:i/>
          <w:iCs/>
          <w:sz w:val="20"/>
          <w:szCs w:val="20"/>
        </w:rPr>
        <w:t xml:space="preserve">of the Australia New Zealand Food Standards Code is varied by omitting paragraph (d) in the definition of </w:t>
      </w:r>
      <w:r w:rsidRPr="00220AE6">
        <w:rPr>
          <w:rFonts w:cs="Arial"/>
          <w:sz w:val="20"/>
          <w:szCs w:val="20"/>
        </w:rPr>
        <w:t>warning statement,</w:t>
      </w:r>
      <w:r w:rsidRPr="00220AE6">
        <w:rPr>
          <w:rFonts w:cs="Arial"/>
          <w:i/>
          <w:iCs/>
          <w:sz w:val="20"/>
          <w:szCs w:val="20"/>
        </w:rPr>
        <w:t xml:space="preserve"> substituting –</w:t>
      </w:r>
    </w:p>
    <w:p w:rsidR="004B7D56" w:rsidRPr="00784537" w:rsidRDefault="004B7D56" w:rsidP="001B6F44">
      <w:pPr>
        <w:pStyle w:val="Clause"/>
        <w:tabs>
          <w:tab w:val="clear" w:pos="851"/>
        </w:tabs>
        <w:rPr>
          <w:rFonts w:cs="Arial"/>
        </w:rPr>
      </w:pPr>
    </w:p>
    <w:p w:rsidR="004B7D56" w:rsidRPr="00784537" w:rsidRDefault="004B7D56" w:rsidP="00220AE6">
      <w:pPr>
        <w:pStyle w:val="Paragraph"/>
      </w:pPr>
      <w:r w:rsidRPr="00784537">
        <w:t>(d)</w:t>
      </w:r>
      <w:r w:rsidRPr="00784537">
        <w:tab/>
        <w:t>Paragraph 5(4)(b) and subclause 6(2) of Standard 2.9.2; and</w:t>
      </w:r>
    </w:p>
    <w:p w:rsidR="004B7D56" w:rsidRPr="00220AE6" w:rsidRDefault="004B7D56" w:rsidP="001B6F44">
      <w:pPr>
        <w:rPr>
          <w:rFonts w:cs="Arial"/>
          <w:sz w:val="20"/>
          <w:szCs w:val="20"/>
        </w:rPr>
      </w:pPr>
    </w:p>
    <w:p w:rsidR="004B7D56" w:rsidRPr="00220AE6" w:rsidRDefault="004B7D56" w:rsidP="001B6F44">
      <w:pPr>
        <w:ind w:left="840" w:hanging="840"/>
        <w:rPr>
          <w:rFonts w:cs="Arial"/>
          <w:i/>
          <w:iCs/>
          <w:sz w:val="20"/>
          <w:szCs w:val="20"/>
          <w:lang w:val="en-US"/>
        </w:rPr>
      </w:pPr>
      <w:r w:rsidRPr="00220AE6">
        <w:rPr>
          <w:rFonts w:cs="Arial"/>
          <w:b/>
          <w:bCs/>
          <w:sz w:val="20"/>
          <w:szCs w:val="20"/>
        </w:rPr>
        <w:t>[2]</w:t>
      </w:r>
      <w:r w:rsidRPr="00220AE6">
        <w:rPr>
          <w:rFonts w:cs="Arial"/>
          <w:sz w:val="20"/>
          <w:szCs w:val="20"/>
        </w:rPr>
        <w:tab/>
      </w:r>
      <w:r w:rsidRPr="00220AE6">
        <w:rPr>
          <w:rFonts w:cs="Arial"/>
          <w:b/>
          <w:bCs/>
          <w:i/>
          <w:iCs/>
          <w:sz w:val="20"/>
          <w:szCs w:val="20"/>
          <w:lang w:val="en-US"/>
        </w:rPr>
        <w:t xml:space="preserve">Standard 2.9.2 </w:t>
      </w:r>
      <w:r w:rsidRPr="00220AE6">
        <w:rPr>
          <w:rFonts w:cs="Arial"/>
          <w:i/>
          <w:iCs/>
          <w:sz w:val="20"/>
          <w:szCs w:val="20"/>
          <w:lang w:val="en-US"/>
        </w:rPr>
        <w:t>of the Australia New Zealand Food Standards Code is varied by –</w:t>
      </w:r>
    </w:p>
    <w:p w:rsidR="004B7D56" w:rsidRPr="00220AE6" w:rsidRDefault="004B7D56" w:rsidP="001B6F44">
      <w:pPr>
        <w:rPr>
          <w:rFonts w:cs="Arial"/>
          <w:i/>
          <w:iCs/>
          <w:sz w:val="20"/>
          <w:szCs w:val="20"/>
          <w:lang w:val="en-US"/>
        </w:rPr>
      </w:pPr>
    </w:p>
    <w:p w:rsidR="004B7D56" w:rsidRPr="00784537" w:rsidRDefault="004B7D56" w:rsidP="001B6F44">
      <w:pPr>
        <w:pStyle w:val="Clause"/>
        <w:rPr>
          <w:rFonts w:cs="Arial"/>
          <w:lang w:val="en-US"/>
        </w:rPr>
      </w:pPr>
      <w:r w:rsidRPr="00784537">
        <w:rPr>
          <w:rFonts w:cs="Arial"/>
          <w:lang w:val="en-US"/>
        </w:rPr>
        <w:t>[2.1]</w:t>
      </w:r>
      <w:r w:rsidRPr="00784537">
        <w:rPr>
          <w:rFonts w:cs="Arial"/>
          <w:lang w:val="en-US"/>
        </w:rPr>
        <w:tab/>
      </w:r>
      <w:r w:rsidRPr="00784537">
        <w:rPr>
          <w:rFonts w:cs="Arial"/>
          <w:i/>
          <w:iCs/>
          <w:lang w:val="en-US"/>
        </w:rPr>
        <w:t>omitting subclause 2(4).</w:t>
      </w:r>
    </w:p>
    <w:p w:rsidR="004B7D56" w:rsidRPr="00220AE6" w:rsidRDefault="004B7D56" w:rsidP="001B6F44">
      <w:pPr>
        <w:rPr>
          <w:rFonts w:cs="Arial"/>
          <w:sz w:val="20"/>
          <w:szCs w:val="20"/>
          <w:lang w:val="en-US"/>
        </w:rPr>
      </w:pPr>
    </w:p>
    <w:p w:rsidR="004B7D56" w:rsidRPr="00220AE6" w:rsidRDefault="004B7D56" w:rsidP="001B6F44">
      <w:pPr>
        <w:ind w:left="840" w:hanging="840"/>
        <w:rPr>
          <w:rFonts w:cs="Arial"/>
          <w:i/>
          <w:iCs/>
          <w:sz w:val="20"/>
          <w:szCs w:val="20"/>
          <w:lang w:val="en-US"/>
        </w:rPr>
      </w:pPr>
      <w:r w:rsidRPr="00220AE6">
        <w:rPr>
          <w:rFonts w:cs="Arial"/>
          <w:sz w:val="20"/>
          <w:szCs w:val="20"/>
          <w:lang w:val="en-US"/>
        </w:rPr>
        <w:t>[2.2]</w:t>
      </w:r>
      <w:r w:rsidRPr="00220AE6">
        <w:rPr>
          <w:rFonts w:cs="Arial"/>
          <w:sz w:val="20"/>
          <w:szCs w:val="20"/>
          <w:lang w:val="en-US"/>
        </w:rPr>
        <w:tab/>
      </w:r>
      <w:r w:rsidRPr="00220AE6">
        <w:rPr>
          <w:rFonts w:cs="Arial"/>
          <w:i/>
          <w:iCs/>
          <w:sz w:val="20"/>
          <w:szCs w:val="20"/>
          <w:lang w:val="en-US"/>
        </w:rPr>
        <w:t xml:space="preserve">omitting the </w:t>
      </w:r>
      <w:r w:rsidRPr="00220AE6">
        <w:rPr>
          <w:rFonts w:cs="Arial"/>
          <w:sz w:val="20"/>
          <w:szCs w:val="20"/>
          <w:lang w:val="en-US"/>
        </w:rPr>
        <w:t xml:space="preserve">Editorial note </w:t>
      </w:r>
      <w:r w:rsidRPr="00220AE6">
        <w:rPr>
          <w:rFonts w:cs="Arial"/>
          <w:i/>
          <w:iCs/>
          <w:sz w:val="20"/>
          <w:szCs w:val="20"/>
          <w:lang w:val="en-US"/>
        </w:rPr>
        <w:t>immediately following subclause 2(4).</w:t>
      </w:r>
    </w:p>
    <w:p w:rsidR="004B7D56" w:rsidRPr="00784537" w:rsidRDefault="004B7D56" w:rsidP="001B6F44">
      <w:pPr>
        <w:pStyle w:val="Clause"/>
        <w:rPr>
          <w:rFonts w:cs="Arial"/>
          <w:lang w:val="en-US"/>
        </w:rPr>
      </w:pPr>
    </w:p>
    <w:p w:rsidR="004B7D56" w:rsidRPr="00220AE6" w:rsidRDefault="004B7D56" w:rsidP="001B6F44">
      <w:pPr>
        <w:ind w:left="840" w:hanging="840"/>
        <w:rPr>
          <w:rFonts w:cs="Arial"/>
          <w:i/>
          <w:iCs/>
          <w:sz w:val="20"/>
          <w:szCs w:val="20"/>
          <w:lang w:val="en-US"/>
        </w:rPr>
      </w:pPr>
      <w:r w:rsidRPr="00220AE6">
        <w:rPr>
          <w:rFonts w:cs="Arial"/>
          <w:sz w:val="20"/>
          <w:szCs w:val="20"/>
          <w:lang w:val="en-US"/>
        </w:rPr>
        <w:t>[2.3]</w:t>
      </w:r>
      <w:r w:rsidRPr="00220AE6">
        <w:rPr>
          <w:rFonts w:cs="Arial"/>
          <w:sz w:val="20"/>
          <w:szCs w:val="20"/>
          <w:lang w:val="en-US"/>
        </w:rPr>
        <w:tab/>
      </w:r>
      <w:r w:rsidRPr="00220AE6">
        <w:rPr>
          <w:rFonts w:cs="Arial"/>
          <w:i/>
          <w:iCs/>
          <w:sz w:val="20"/>
          <w:szCs w:val="20"/>
          <w:lang w:val="en-US"/>
        </w:rPr>
        <w:t>omitting subclause 3(1), substituting –</w:t>
      </w:r>
    </w:p>
    <w:p w:rsidR="004B7D56" w:rsidRPr="00220AE6" w:rsidRDefault="004B7D56" w:rsidP="001B6F44">
      <w:pPr>
        <w:rPr>
          <w:rFonts w:cs="Arial"/>
          <w:i/>
          <w:iCs/>
          <w:sz w:val="20"/>
          <w:szCs w:val="20"/>
          <w:lang w:val="en-US"/>
        </w:rPr>
      </w:pPr>
    </w:p>
    <w:p w:rsidR="004B7D56" w:rsidRPr="00784537" w:rsidRDefault="004B7D56" w:rsidP="001B6F44">
      <w:pPr>
        <w:pStyle w:val="Subclause"/>
        <w:tabs>
          <w:tab w:val="clear" w:pos="851"/>
          <w:tab w:val="left" w:pos="840"/>
        </w:tabs>
        <w:ind w:firstLine="0"/>
        <w:rPr>
          <w:rFonts w:cs="Arial"/>
        </w:rPr>
      </w:pPr>
      <w:r w:rsidRPr="00784537">
        <w:rPr>
          <w:rFonts w:cs="Arial"/>
        </w:rPr>
        <w:t xml:space="preserve">(1) </w:t>
      </w:r>
      <w:r w:rsidRPr="00784537">
        <w:rPr>
          <w:rFonts w:cs="Arial"/>
        </w:rPr>
        <w:tab/>
        <w:t>Cereal-based food for infants which contains more than 70% cereal, on a moisture free basis –</w:t>
      </w:r>
    </w:p>
    <w:p w:rsidR="004B7D56" w:rsidRPr="00220AE6" w:rsidRDefault="004B7D56" w:rsidP="001B6F44">
      <w:pPr>
        <w:rPr>
          <w:rFonts w:cs="Arial"/>
          <w:sz w:val="20"/>
          <w:szCs w:val="20"/>
        </w:rPr>
      </w:pPr>
    </w:p>
    <w:p w:rsidR="004B7D56" w:rsidRPr="00784537" w:rsidRDefault="004B7D56" w:rsidP="00220AE6">
      <w:pPr>
        <w:pStyle w:val="Paragraph"/>
      </w:pPr>
      <w:r w:rsidRPr="00784537">
        <w:t>(a)</w:t>
      </w:r>
      <w:r w:rsidRPr="00784537">
        <w:tab/>
        <w:t>must contain no less than 20 mg iron/100 g on a moisture free basis; and</w:t>
      </w:r>
    </w:p>
    <w:p w:rsidR="004B7D56" w:rsidRPr="00784537" w:rsidRDefault="004B7D56" w:rsidP="00784537">
      <w:pPr>
        <w:pStyle w:val="Paragraph"/>
      </w:pPr>
      <w:r w:rsidRPr="00784537">
        <w:t>(b)</w:t>
      </w:r>
      <w:r w:rsidRPr="00784537">
        <w:tab/>
        <w:t>may contain added iron in the following forms:</w:t>
      </w:r>
    </w:p>
    <w:p w:rsidR="004B7D56" w:rsidRPr="00784537" w:rsidRDefault="004B7D56" w:rsidP="001B6F44">
      <w:pPr>
        <w:pStyle w:val="Subparagraph"/>
        <w:rPr>
          <w:rFonts w:cs="Arial"/>
        </w:rPr>
      </w:pPr>
    </w:p>
    <w:p w:rsidR="004B7D56" w:rsidRPr="00784537" w:rsidRDefault="004B7D56" w:rsidP="001B6F44">
      <w:pPr>
        <w:pStyle w:val="Subparagraph"/>
        <w:rPr>
          <w:rFonts w:cs="Arial"/>
        </w:rPr>
      </w:pPr>
      <w:r w:rsidRPr="00784537">
        <w:rPr>
          <w:rFonts w:cs="Arial"/>
        </w:rPr>
        <w:t>(i)</w:t>
      </w:r>
      <w:r w:rsidRPr="00784537">
        <w:rPr>
          <w:rFonts w:cs="Arial"/>
        </w:rPr>
        <w:tab/>
        <w:t xml:space="preserve">electrolytic iron; or </w:t>
      </w:r>
    </w:p>
    <w:p w:rsidR="004B7D56" w:rsidRPr="00784537" w:rsidRDefault="004B7D56" w:rsidP="001B6F44">
      <w:pPr>
        <w:pStyle w:val="Subparagraph"/>
        <w:rPr>
          <w:rFonts w:cs="Arial"/>
        </w:rPr>
      </w:pPr>
      <w:r w:rsidRPr="00784537">
        <w:rPr>
          <w:rFonts w:cs="Arial"/>
        </w:rPr>
        <w:t>(ii)</w:t>
      </w:r>
      <w:r w:rsidRPr="00784537">
        <w:rPr>
          <w:rFonts w:cs="Arial"/>
        </w:rPr>
        <w:tab/>
        <w:t xml:space="preserve">reduced iron; or </w:t>
      </w:r>
    </w:p>
    <w:p w:rsidR="004B7D56" w:rsidRPr="00784537" w:rsidRDefault="004B7D56" w:rsidP="001B6F44">
      <w:pPr>
        <w:pStyle w:val="Subparagraph"/>
        <w:rPr>
          <w:rFonts w:cs="Arial"/>
        </w:rPr>
      </w:pPr>
      <w:r w:rsidRPr="00784537">
        <w:rPr>
          <w:rFonts w:cs="Arial"/>
        </w:rPr>
        <w:t>(iii)</w:t>
      </w:r>
      <w:r w:rsidRPr="00784537">
        <w:rPr>
          <w:rFonts w:cs="Arial"/>
        </w:rPr>
        <w:tab/>
        <w:t>in the permitted forms set out in Schedule 1 of Standard 2.9.1; and</w:t>
      </w:r>
    </w:p>
    <w:p w:rsidR="004B7D56" w:rsidRPr="00220AE6" w:rsidRDefault="004B7D56" w:rsidP="001B6F44">
      <w:pPr>
        <w:rPr>
          <w:rFonts w:cs="Arial"/>
          <w:sz w:val="20"/>
          <w:szCs w:val="20"/>
        </w:rPr>
      </w:pPr>
    </w:p>
    <w:p w:rsidR="004B7D56" w:rsidRPr="00784537" w:rsidRDefault="004B7D56" w:rsidP="001B6F44">
      <w:pPr>
        <w:pStyle w:val="Paragraph"/>
        <w:rPr>
          <w:rFonts w:cs="Arial"/>
        </w:rPr>
      </w:pPr>
      <w:r w:rsidRPr="00784537">
        <w:rPr>
          <w:rFonts w:cs="Arial"/>
        </w:rPr>
        <w:t>(c)</w:t>
      </w:r>
      <w:r w:rsidRPr="00784537">
        <w:rPr>
          <w:rFonts w:cs="Arial"/>
        </w:rPr>
        <w:tab/>
        <w:t>may contain added thiamin, niacin, vitamin B</w:t>
      </w:r>
      <w:r w:rsidRPr="00784537">
        <w:rPr>
          <w:rFonts w:cs="Arial"/>
          <w:vertAlign w:val="subscript"/>
        </w:rPr>
        <w:t>6</w:t>
      </w:r>
      <w:r w:rsidRPr="00784537">
        <w:rPr>
          <w:rFonts w:cs="Arial"/>
        </w:rPr>
        <w:t>, vitamin C, folate, magnesium in the forms permitted in Schedule 1 of Standard 2.9.1; and</w:t>
      </w:r>
    </w:p>
    <w:p w:rsidR="004B7D56" w:rsidRPr="00784537" w:rsidRDefault="004B7D56" w:rsidP="001B6F44">
      <w:pPr>
        <w:pStyle w:val="Paragraph"/>
        <w:rPr>
          <w:rFonts w:cs="Arial"/>
        </w:rPr>
      </w:pPr>
      <w:r w:rsidRPr="00784537">
        <w:rPr>
          <w:rFonts w:cs="Arial"/>
        </w:rPr>
        <w:t>(d)</w:t>
      </w:r>
      <w:r w:rsidRPr="00784537">
        <w:rPr>
          <w:rFonts w:cs="Arial"/>
        </w:rPr>
        <w:tab/>
        <w:t>may contain added vitamin C to a maximum level of 90 mg/100 g on a moisture free basis.</w:t>
      </w:r>
    </w:p>
    <w:p w:rsidR="004B7D56" w:rsidRPr="00784537" w:rsidRDefault="004B7D56" w:rsidP="001B6F44">
      <w:pPr>
        <w:pStyle w:val="Clause"/>
        <w:rPr>
          <w:rFonts w:cs="Arial"/>
          <w:lang w:val="en-US"/>
        </w:rPr>
      </w:pPr>
    </w:p>
    <w:p w:rsidR="004B7D56" w:rsidRPr="00220AE6" w:rsidRDefault="004B7D56" w:rsidP="001B6F44">
      <w:pPr>
        <w:ind w:left="840" w:hanging="840"/>
        <w:rPr>
          <w:rFonts w:cs="Arial"/>
          <w:i/>
          <w:iCs/>
          <w:sz w:val="20"/>
          <w:szCs w:val="20"/>
          <w:lang w:val="en-US"/>
        </w:rPr>
      </w:pPr>
      <w:r w:rsidRPr="00220AE6">
        <w:rPr>
          <w:rFonts w:cs="Arial"/>
          <w:sz w:val="20"/>
          <w:szCs w:val="20"/>
          <w:lang w:val="en-US"/>
        </w:rPr>
        <w:t>[2.4]</w:t>
      </w:r>
      <w:r w:rsidRPr="00220AE6">
        <w:rPr>
          <w:rFonts w:cs="Arial"/>
          <w:sz w:val="20"/>
          <w:szCs w:val="20"/>
          <w:lang w:val="en-US"/>
        </w:rPr>
        <w:tab/>
      </w:r>
      <w:r w:rsidRPr="00220AE6">
        <w:rPr>
          <w:rFonts w:cs="Arial"/>
          <w:i/>
          <w:iCs/>
          <w:sz w:val="20"/>
          <w:szCs w:val="20"/>
          <w:lang w:val="en-US"/>
        </w:rPr>
        <w:t>omitting subclause 3(2).</w:t>
      </w:r>
    </w:p>
    <w:p w:rsidR="004B7D56" w:rsidRPr="00220AE6" w:rsidRDefault="004B7D56" w:rsidP="001B6F44">
      <w:pPr>
        <w:rPr>
          <w:rFonts w:cs="Arial"/>
          <w:sz w:val="20"/>
          <w:szCs w:val="20"/>
          <w:lang w:val="en-US"/>
        </w:rPr>
      </w:pPr>
    </w:p>
    <w:p w:rsidR="004B7D56" w:rsidRPr="00220AE6" w:rsidRDefault="004B7D56" w:rsidP="001B6F44">
      <w:pPr>
        <w:ind w:left="840" w:hanging="840"/>
        <w:rPr>
          <w:rFonts w:cs="Arial"/>
          <w:i/>
          <w:iCs/>
          <w:sz w:val="20"/>
          <w:szCs w:val="20"/>
          <w:lang w:val="en-US"/>
        </w:rPr>
      </w:pPr>
      <w:r w:rsidRPr="00220AE6">
        <w:rPr>
          <w:rFonts w:cs="Arial"/>
          <w:sz w:val="20"/>
          <w:szCs w:val="20"/>
          <w:lang w:val="en-US"/>
        </w:rPr>
        <w:t>[2.5]</w:t>
      </w:r>
      <w:r w:rsidRPr="00220AE6">
        <w:rPr>
          <w:rFonts w:cs="Arial"/>
          <w:sz w:val="20"/>
          <w:szCs w:val="20"/>
          <w:lang w:val="en-US"/>
        </w:rPr>
        <w:tab/>
      </w:r>
      <w:r w:rsidRPr="00220AE6">
        <w:rPr>
          <w:rFonts w:cs="Arial"/>
          <w:i/>
          <w:iCs/>
          <w:sz w:val="20"/>
          <w:szCs w:val="20"/>
          <w:lang w:val="en-US"/>
        </w:rPr>
        <w:t>omitting clause 5, substituting –</w:t>
      </w:r>
    </w:p>
    <w:p w:rsidR="004B7D56" w:rsidRPr="00220AE6" w:rsidRDefault="004B7D56" w:rsidP="001B6F44">
      <w:pPr>
        <w:ind w:left="840" w:hanging="840"/>
        <w:rPr>
          <w:rFonts w:cs="Arial"/>
          <w:i/>
          <w:iCs/>
          <w:sz w:val="20"/>
          <w:szCs w:val="20"/>
          <w:lang w:val="en-US"/>
        </w:rPr>
      </w:pPr>
    </w:p>
    <w:p w:rsidR="004B7D56" w:rsidRPr="00220AE6" w:rsidRDefault="004B7D56" w:rsidP="001B6F44">
      <w:pPr>
        <w:pStyle w:val="Clauseheading0"/>
        <w:rPr>
          <w:rFonts w:ascii="Arial" w:hAnsi="Arial" w:cs="Arial"/>
          <w:sz w:val="20"/>
          <w:szCs w:val="20"/>
        </w:rPr>
      </w:pPr>
      <w:r w:rsidRPr="00220AE6">
        <w:rPr>
          <w:rFonts w:ascii="Arial" w:hAnsi="Arial" w:cs="Arial"/>
          <w:sz w:val="20"/>
          <w:szCs w:val="20"/>
        </w:rPr>
        <w:t>5</w:t>
      </w:r>
      <w:r w:rsidRPr="00220AE6">
        <w:rPr>
          <w:rFonts w:ascii="Arial" w:hAnsi="Arial" w:cs="Arial"/>
          <w:sz w:val="20"/>
          <w:szCs w:val="20"/>
        </w:rPr>
        <w:tab/>
        <w:t xml:space="preserve">Labelling </w:t>
      </w:r>
    </w:p>
    <w:p w:rsidR="004B7D56" w:rsidRPr="00784537" w:rsidRDefault="004B7D56" w:rsidP="001B6F44">
      <w:pPr>
        <w:pStyle w:val="Clause"/>
        <w:rPr>
          <w:rFonts w:cs="Arial"/>
        </w:rPr>
      </w:pPr>
    </w:p>
    <w:p w:rsidR="004B7D56" w:rsidRPr="00784537" w:rsidRDefault="004B7D56" w:rsidP="004B7D56">
      <w:pPr>
        <w:pStyle w:val="Subclause"/>
        <w:numPr>
          <w:ilvl w:val="0"/>
          <w:numId w:val="22"/>
        </w:numPr>
        <w:rPr>
          <w:rFonts w:cs="Arial"/>
        </w:rPr>
      </w:pPr>
      <w:r w:rsidRPr="00784537">
        <w:rPr>
          <w:rFonts w:cs="Arial"/>
        </w:rPr>
        <w:t>This clause does not apply to packaged water.</w:t>
      </w:r>
    </w:p>
    <w:p w:rsidR="004B7D56" w:rsidRPr="00784537" w:rsidRDefault="004B7D56" w:rsidP="001B6F44">
      <w:pPr>
        <w:pStyle w:val="Subclause"/>
        <w:tabs>
          <w:tab w:val="clear" w:pos="851"/>
        </w:tabs>
        <w:ind w:left="-11" w:firstLine="0"/>
        <w:rPr>
          <w:rFonts w:cs="Arial"/>
        </w:rPr>
      </w:pPr>
    </w:p>
    <w:p w:rsidR="004B7D56" w:rsidRPr="00784537" w:rsidRDefault="004B7D56" w:rsidP="004B7D56">
      <w:pPr>
        <w:pStyle w:val="Subclause"/>
        <w:numPr>
          <w:ilvl w:val="0"/>
          <w:numId w:val="22"/>
        </w:numPr>
        <w:ind w:left="0" w:hanging="11"/>
        <w:rPr>
          <w:rFonts w:cs="Arial"/>
        </w:rPr>
      </w:pPr>
      <w:r w:rsidRPr="00784537">
        <w:rPr>
          <w:rFonts w:cs="Arial"/>
        </w:rPr>
        <w:t>The label on a package of food for infants must not include a representation, whether express or implied, that the food is suitable for infants less than 4 months.</w:t>
      </w:r>
    </w:p>
    <w:p w:rsidR="004B7D56" w:rsidRPr="00784537" w:rsidRDefault="004B7D56" w:rsidP="001B6F44">
      <w:pPr>
        <w:pStyle w:val="Subclause"/>
        <w:tabs>
          <w:tab w:val="clear" w:pos="851"/>
        </w:tabs>
        <w:ind w:firstLine="0"/>
        <w:rPr>
          <w:rFonts w:cs="Arial"/>
        </w:rPr>
      </w:pPr>
    </w:p>
    <w:p w:rsidR="004B7D56" w:rsidRPr="00784537" w:rsidRDefault="004B7D56" w:rsidP="001B6F44">
      <w:pPr>
        <w:pStyle w:val="Subclause"/>
        <w:tabs>
          <w:tab w:val="clear" w:pos="851"/>
          <w:tab w:val="left" w:pos="840"/>
        </w:tabs>
        <w:ind w:firstLine="0"/>
        <w:rPr>
          <w:rFonts w:cs="Arial"/>
        </w:rPr>
      </w:pPr>
      <w:r w:rsidRPr="00784537">
        <w:rPr>
          <w:rFonts w:cs="Arial"/>
        </w:rPr>
        <w:t>(3)</w:t>
      </w:r>
      <w:r w:rsidRPr="00784537">
        <w:rPr>
          <w:rFonts w:cs="Arial"/>
        </w:rPr>
        <w:tab/>
        <w:t>The label on a package of food for infants must include –</w:t>
      </w:r>
    </w:p>
    <w:p w:rsidR="004B7D56" w:rsidRPr="00784537" w:rsidRDefault="004B7D56" w:rsidP="001B6F44">
      <w:pPr>
        <w:pStyle w:val="Subclause"/>
        <w:ind w:firstLine="0"/>
        <w:rPr>
          <w:rFonts w:cs="Arial"/>
        </w:rPr>
      </w:pPr>
    </w:p>
    <w:p w:rsidR="004B7D56" w:rsidRPr="00784537" w:rsidRDefault="004B7D56" w:rsidP="001B6F44">
      <w:pPr>
        <w:pStyle w:val="Paragraph"/>
        <w:rPr>
          <w:rFonts w:cs="Arial"/>
        </w:rPr>
      </w:pPr>
      <w:r w:rsidRPr="00784537">
        <w:rPr>
          <w:rFonts w:cs="Arial"/>
        </w:rPr>
        <w:t>(a)</w:t>
      </w:r>
      <w:r w:rsidRPr="00784537">
        <w:rPr>
          <w:rFonts w:cs="Arial"/>
        </w:rPr>
        <w:tab/>
        <w:t>a statement indicating the consistency of the food; and</w:t>
      </w:r>
    </w:p>
    <w:p w:rsidR="004B7D56" w:rsidRPr="00784537" w:rsidRDefault="004B7D56" w:rsidP="001B6F44">
      <w:pPr>
        <w:pStyle w:val="Paragraph"/>
        <w:rPr>
          <w:rFonts w:cs="Arial"/>
        </w:rPr>
      </w:pPr>
      <w:r w:rsidRPr="00784537">
        <w:rPr>
          <w:rFonts w:cs="Arial"/>
        </w:rPr>
        <w:t>(b)</w:t>
      </w:r>
      <w:r w:rsidRPr="00784537">
        <w:rPr>
          <w:rFonts w:cs="Arial"/>
        </w:rPr>
        <w:tab/>
        <w:t>a statement indicating from which age, expressed in numbers, the food is suitable; and</w:t>
      </w:r>
    </w:p>
    <w:p w:rsidR="004B7D56" w:rsidRPr="00784537" w:rsidRDefault="004B7D56" w:rsidP="00220AE6">
      <w:pPr>
        <w:pStyle w:val="Paragraph"/>
        <w:ind w:right="-286"/>
        <w:rPr>
          <w:rFonts w:cs="Arial"/>
        </w:rPr>
      </w:pPr>
      <w:r w:rsidRPr="00784537">
        <w:rPr>
          <w:rFonts w:cs="Arial"/>
        </w:rPr>
        <w:t>(c)</w:t>
      </w:r>
      <w:r w:rsidRPr="00784537">
        <w:rPr>
          <w:rFonts w:cs="Arial"/>
        </w:rPr>
        <w:tab/>
        <w:t>where the added sugars content of the food for infants exceeds 4 g/100 g, the word –</w:t>
      </w:r>
    </w:p>
    <w:p w:rsidR="004B7D56" w:rsidRPr="00220AE6" w:rsidRDefault="004B7D56" w:rsidP="001B6F44">
      <w:pPr>
        <w:rPr>
          <w:rFonts w:cs="Arial"/>
          <w:sz w:val="20"/>
          <w:szCs w:val="20"/>
        </w:rPr>
      </w:pPr>
    </w:p>
    <w:p w:rsidR="004B7D56" w:rsidRPr="00220AE6" w:rsidRDefault="004B7D56" w:rsidP="001B6F44">
      <w:pPr>
        <w:pStyle w:val="1aindent"/>
        <w:rPr>
          <w:rFonts w:ascii="Arial" w:hAnsi="Arial" w:cs="Arial"/>
          <w:sz w:val="20"/>
          <w:szCs w:val="20"/>
        </w:rPr>
      </w:pPr>
      <w:r w:rsidRPr="00220AE6">
        <w:rPr>
          <w:rFonts w:ascii="Arial" w:hAnsi="Arial" w:cs="Arial"/>
          <w:sz w:val="20"/>
          <w:szCs w:val="20"/>
        </w:rPr>
        <w:tab/>
      </w:r>
      <w:r w:rsidRPr="00220AE6">
        <w:rPr>
          <w:rFonts w:ascii="Arial" w:hAnsi="Arial" w:cs="Arial"/>
          <w:sz w:val="20"/>
          <w:szCs w:val="20"/>
        </w:rPr>
        <w:tab/>
      </w:r>
      <w:r w:rsidRPr="00220AE6">
        <w:rPr>
          <w:rFonts w:ascii="Arial" w:hAnsi="Arial" w:cs="Arial"/>
          <w:sz w:val="20"/>
          <w:szCs w:val="20"/>
        </w:rPr>
        <w:tab/>
        <w:t>‘sweetened’; and</w:t>
      </w:r>
    </w:p>
    <w:p w:rsidR="004B7D56" w:rsidRPr="00220AE6" w:rsidRDefault="004B7D56" w:rsidP="001B6F44">
      <w:pPr>
        <w:pStyle w:val="1aindent"/>
        <w:rPr>
          <w:rFonts w:ascii="Arial" w:hAnsi="Arial" w:cs="Arial"/>
          <w:sz w:val="20"/>
          <w:szCs w:val="20"/>
        </w:rPr>
      </w:pPr>
    </w:p>
    <w:p w:rsidR="004B7D56" w:rsidRPr="00220AE6" w:rsidRDefault="004B7D56" w:rsidP="001B6F44">
      <w:pPr>
        <w:pStyle w:val="1aindent"/>
        <w:rPr>
          <w:rFonts w:ascii="Arial" w:hAnsi="Arial" w:cs="Arial"/>
          <w:sz w:val="20"/>
          <w:szCs w:val="20"/>
        </w:rPr>
      </w:pPr>
    </w:p>
    <w:p w:rsidR="004B7D56" w:rsidRPr="00784537" w:rsidRDefault="004B7D56" w:rsidP="001B6F44">
      <w:pPr>
        <w:pStyle w:val="Paragraph"/>
        <w:keepNext/>
        <w:keepLines/>
        <w:rPr>
          <w:rFonts w:cs="Arial"/>
        </w:rPr>
      </w:pPr>
      <w:r w:rsidRPr="00784537">
        <w:rPr>
          <w:rFonts w:cs="Arial"/>
        </w:rPr>
        <w:t>(d)</w:t>
      </w:r>
      <w:r w:rsidRPr="00784537">
        <w:rPr>
          <w:rFonts w:cs="Arial"/>
        </w:rPr>
        <w:tab/>
        <w:t>where honey has been used as an ingredient, the words-</w:t>
      </w:r>
    </w:p>
    <w:p w:rsidR="004B7D56" w:rsidRPr="00784537" w:rsidRDefault="004B7D56" w:rsidP="001B6F44">
      <w:pPr>
        <w:pStyle w:val="Subclause"/>
        <w:keepNext/>
        <w:keepLines/>
        <w:ind w:left="-11" w:firstLine="0"/>
        <w:rPr>
          <w:rFonts w:cs="Arial"/>
        </w:rPr>
      </w:pPr>
    </w:p>
    <w:p w:rsidR="004B7D56" w:rsidRPr="00220AE6" w:rsidRDefault="004B7D56" w:rsidP="001B6F44">
      <w:pPr>
        <w:pStyle w:val="1aindent"/>
        <w:keepNext/>
        <w:keepLines/>
        <w:rPr>
          <w:rFonts w:ascii="Arial" w:hAnsi="Arial" w:cs="Arial"/>
          <w:sz w:val="20"/>
          <w:szCs w:val="20"/>
        </w:rPr>
      </w:pPr>
      <w:r w:rsidRPr="00220AE6">
        <w:rPr>
          <w:rFonts w:ascii="Arial" w:hAnsi="Arial" w:cs="Arial"/>
          <w:sz w:val="20"/>
          <w:szCs w:val="20"/>
        </w:rPr>
        <w:tab/>
      </w:r>
      <w:r w:rsidRPr="00220AE6">
        <w:rPr>
          <w:rFonts w:ascii="Arial" w:hAnsi="Arial" w:cs="Arial"/>
          <w:sz w:val="20"/>
          <w:szCs w:val="20"/>
        </w:rPr>
        <w:tab/>
      </w:r>
      <w:r w:rsidRPr="00220AE6">
        <w:rPr>
          <w:rFonts w:ascii="Arial" w:hAnsi="Arial" w:cs="Arial"/>
          <w:sz w:val="20"/>
          <w:szCs w:val="20"/>
        </w:rPr>
        <w:tab/>
        <w:t>‘sterilised honey’.</w:t>
      </w:r>
    </w:p>
    <w:p w:rsidR="004B7D56" w:rsidRPr="00220AE6" w:rsidRDefault="004B7D56" w:rsidP="001B6F44">
      <w:pPr>
        <w:pStyle w:val="1aindent"/>
        <w:rPr>
          <w:rFonts w:ascii="Arial" w:hAnsi="Arial" w:cs="Arial"/>
          <w:sz w:val="20"/>
          <w:szCs w:val="20"/>
        </w:rPr>
      </w:pPr>
    </w:p>
    <w:p w:rsidR="00055B3D" w:rsidRDefault="004B7D56" w:rsidP="001B6F44">
      <w:pPr>
        <w:pStyle w:val="Subclause"/>
        <w:tabs>
          <w:tab w:val="clear" w:pos="851"/>
        </w:tabs>
        <w:rPr>
          <w:rFonts w:cs="Arial"/>
        </w:rPr>
      </w:pPr>
      <w:r w:rsidRPr="00784537">
        <w:rPr>
          <w:rFonts w:cs="Arial"/>
        </w:rPr>
        <w:t>In addition to the requirements in subclause (3), where the food is suitable for infants aged between 4 and 6 months the label on a package of food for infants must include the following statements –</w:t>
      </w:r>
      <w:r w:rsidR="00055B3D">
        <w:rPr>
          <w:rFonts w:cs="Arial"/>
        </w:rPr>
        <w:br w:type="page"/>
      </w:r>
    </w:p>
    <w:p w:rsidR="004B7D56" w:rsidRPr="00784537" w:rsidRDefault="004B7D56" w:rsidP="001B6F44">
      <w:pPr>
        <w:pStyle w:val="Paragraph"/>
        <w:rPr>
          <w:rFonts w:cs="Arial"/>
        </w:rPr>
      </w:pPr>
      <w:r w:rsidRPr="00784537">
        <w:rPr>
          <w:rFonts w:cs="Arial"/>
        </w:rPr>
        <w:lastRenderedPageBreak/>
        <w:t>(a)</w:t>
      </w:r>
      <w:r w:rsidRPr="00784537">
        <w:rPr>
          <w:rFonts w:cs="Arial"/>
        </w:rPr>
        <w:tab/>
        <w:t xml:space="preserve">‘Around 6 months’; and </w:t>
      </w:r>
    </w:p>
    <w:p w:rsidR="004B7D56" w:rsidRPr="00784537" w:rsidRDefault="004B7D56" w:rsidP="001B6F44">
      <w:pPr>
        <w:pStyle w:val="Paragraph"/>
        <w:rPr>
          <w:rFonts w:cs="Arial"/>
        </w:rPr>
      </w:pPr>
      <w:r w:rsidRPr="00784537">
        <w:rPr>
          <w:rFonts w:cs="Arial"/>
        </w:rPr>
        <w:t>(b)</w:t>
      </w:r>
      <w:r w:rsidRPr="00784537">
        <w:rPr>
          <w:rFonts w:cs="Arial"/>
        </w:rPr>
        <w:tab/>
        <w:t xml:space="preserve">‘Not recommended for infants under the age of 4 months’; and </w:t>
      </w:r>
    </w:p>
    <w:p w:rsidR="004B7D56" w:rsidRPr="00784537" w:rsidRDefault="004B7D56" w:rsidP="001B6F44">
      <w:pPr>
        <w:pStyle w:val="Paragraph"/>
        <w:rPr>
          <w:rFonts w:cs="Arial"/>
        </w:rPr>
      </w:pPr>
      <w:r w:rsidRPr="00784537">
        <w:rPr>
          <w:rFonts w:cs="Arial"/>
        </w:rPr>
        <w:t>(c)</w:t>
      </w:r>
      <w:r w:rsidRPr="00784537">
        <w:rPr>
          <w:rFonts w:cs="Arial"/>
        </w:rPr>
        <w:tab/>
        <w:t>words to the effect that the decision to begin feeding solids should be made in consultation with a health professional.</w:t>
      </w:r>
    </w:p>
    <w:p w:rsidR="004B7D56" w:rsidRPr="00220AE6" w:rsidRDefault="004B7D56" w:rsidP="001B6F44">
      <w:pPr>
        <w:pStyle w:val="1aindent"/>
        <w:rPr>
          <w:rFonts w:ascii="Arial" w:hAnsi="Arial" w:cs="Arial"/>
          <w:sz w:val="20"/>
          <w:szCs w:val="20"/>
        </w:rPr>
      </w:pPr>
    </w:p>
    <w:p w:rsidR="004B7D56" w:rsidRPr="00784537" w:rsidRDefault="004B7D56" w:rsidP="001B6F44">
      <w:pPr>
        <w:pStyle w:val="EditorialNoteLine1"/>
        <w:rPr>
          <w:rFonts w:cs="Arial"/>
        </w:rPr>
      </w:pPr>
      <w:r w:rsidRPr="00784537">
        <w:rPr>
          <w:rFonts w:cs="Arial"/>
        </w:rPr>
        <w:t>Editorial note:</w:t>
      </w:r>
    </w:p>
    <w:p w:rsidR="004B7D56" w:rsidRPr="00784537" w:rsidRDefault="004B7D56" w:rsidP="001B6F44">
      <w:pPr>
        <w:pStyle w:val="EditorialNotetext"/>
        <w:rPr>
          <w:rFonts w:cs="Arial"/>
        </w:rPr>
      </w:pPr>
    </w:p>
    <w:p w:rsidR="004B7D56" w:rsidRPr="00784537" w:rsidRDefault="004B7D56" w:rsidP="001B6F44">
      <w:pPr>
        <w:pStyle w:val="EditorialNotetext"/>
        <w:rPr>
          <w:rFonts w:cs="Arial"/>
        </w:rPr>
      </w:pPr>
      <w:r w:rsidRPr="00784537">
        <w:rPr>
          <w:rFonts w:cs="Arial"/>
        </w:rPr>
        <w:t>This Standard does not place limits on the use of sugars except in the case of a vegetable juice, fruit drink and non-alcoholic beverage.</w:t>
      </w:r>
    </w:p>
    <w:p w:rsidR="004B7D56" w:rsidRPr="00784537" w:rsidRDefault="004B7D56" w:rsidP="001B6F44">
      <w:pPr>
        <w:pStyle w:val="EditorialNotetext"/>
        <w:rPr>
          <w:rFonts w:cs="Arial"/>
        </w:rPr>
      </w:pPr>
    </w:p>
    <w:p w:rsidR="004B7D56" w:rsidRPr="00784537" w:rsidRDefault="004B7D56" w:rsidP="001B6F44">
      <w:pPr>
        <w:pStyle w:val="EditorialNotetext"/>
        <w:rPr>
          <w:rFonts w:cs="Arial"/>
        </w:rPr>
      </w:pPr>
      <w:r w:rsidRPr="00784537">
        <w:rPr>
          <w:rFonts w:cs="Arial"/>
        </w:rPr>
        <w:t>Claims such as ‘no added sugar’, ‘sweetened’ or words of similar import are subject to the general labelling provisions.</w:t>
      </w:r>
    </w:p>
    <w:p w:rsidR="004B7D56" w:rsidRPr="00784537" w:rsidRDefault="004B7D56" w:rsidP="001B6F44">
      <w:pPr>
        <w:pStyle w:val="EditorialNotetext"/>
        <w:rPr>
          <w:rFonts w:cs="Arial"/>
        </w:rPr>
      </w:pPr>
    </w:p>
    <w:bookmarkEnd w:id="0"/>
    <w:bookmarkEnd w:id="1"/>
    <w:bookmarkEnd w:id="2"/>
    <w:bookmarkEnd w:id="3"/>
    <w:bookmarkEnd w:id="4"/>
    <w:bookmarkEnd w:id="5"/>
    <w:bookmarkEnd w:id="6"/>
    <w:bookmarkEnd w:id="7"/>
    <w:p w:rsidR="004B7D56" w:rsidRDefault="004B7D56" w:rsidP="001B6F44">
      <w:pPr>
        <w:rPr>
          <w:rFonts w:cs="Arial"/>
        </w:rPr>
      </w:pPr>
    </w:p>
    <w:sectPr w:rsidR="004B7D56" w:rsidSect="001B6F44">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E3" w:rsidRDefault="007F73E3" w:rsidP="004B7D56">
      <w:r>
        <w:separator/>
      </w:r>
    </w:p>
  </w:endnote>
  <w:endnote w:type="continuationSeparator" w:id="0">
    <w:p w:rsidR="007F73E3" w:rsidRDefault="007F73E3" w:rsidP="004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UniversLTStd-Light">
    <w:altName w:val="Arial Unicode MS"/>
    <w:panose1 w:val="00000000000000000000"/>
    <w:charset w:val="81"/>
    <w:family w:val="swiss"/>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3" w:rsidRDefault="007F73E3" w:rsidP="001B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3E3" w:rsidRDefault="007F7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3" w:rsidRDefault="007F73E3" w:rsidP="001B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B18">
      <w:rPr>
        <w:rStyle w:val="PageNumber"/>
        <w:noProof/>
      </w:rPr>
      <w:t>1</w:t>
    </w:r>
    <w:r>
      <w:rPr>
        <w:rStyle w:val="PageNumber"/>
      </w:rPr>
      <w:fldChar w:fldCharType="end"/>
    </w:r>
  </w:p>
  <w:p w:rsidR="007F73E3" w:rsidRDefault="007F73E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18" w:rsidRDefault="00A33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E3" w:rsidRDefault="007F73E3" w:rsidP="004B7D56">
      <w:r>
        <w:separator/>
      </w:r>
    </w:p>
  </w:footnote>
  <w:footnote w:type="continuationSeparator" w:id="0">
    <w:p w:rsidR="007F73E3" w:rsidRDefault="007F73E3" w:rsidP="004B7D56">
      <w:r>
        <w:continuationSeparator/>
      </w:r>
    </w:p>
  </w:footnote>
  <w:footnote w:id="1">
    <w:p w:rsidR="007F73E3" w:rsidRPr="0010778D" w:rsidRDefault="007F73E3" w:rsidP="003C20BC">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7F73E3" w:rsidRPr="00A04D59" w:rsidRDefault="007F73E3">
      <w:pPr>
        <w:pStyle w:val="FootnoteText"/>
        <w:rPr>
          <w:rFonts w:cs="Arial"/>
          <w:sz w:val="18"/>
          <w:lang w:val="en-AU"/>
        </w:rPr>
      </w:pPr>
      <w:r>
        <w:rPr>
          <w:rStyle w:val="FootnoteReference"/>
          <w:rFonts w:eastAsiaTheme="majorEastAsia"/>
        </w:rPr>
        <w:footnoteRef/>
      </w:r>
      <w:r>
        <w:t xml:space="preserve"> </w:t>
      </w:r>
      <w:r w:rsidRPr="00A04D59">
        <w:rPr>
          <w:rFonts w:cs="Arial"/>
          <w:sz w:val="18"/>
          <w:szCs w:val="19"/>
        </w:rPr>
        <w:t>Standard 2.9.2 was gazetted on 20 December 2000.</w:t>
      </w:r>
    </w:p>
  </w:footnote>
  <w:footnote w:id="3">
    <w:p w:rsidR="007F73E3" w:rsidRPr="00CA6A02" w:rsidRDefault="007F73E3" w:rsidP="001B6F44">
      <w:pPr>
        <w:pStyle w:val="Title"/>
        <w:jc w:val="left"/>
        <w:rPr>
          <w:rFonts w:ascii="Arial" w:hAnsi="Arial" w:cs="Arial"/>
          <w:b w:val="0"/>
          <w:sz w:val="18"/>
          <w:szCs w:val="18"/>
        </w:rPr>
      </w:pPr>
      <w:r w:rsidRPr="00D604DD">
        <w:rPr>
          <w:rStyle w:val="FootnoteReference"/>
          <w:rFonts w:ascii="Arial" w:eastAsiaTheme="majorEastAsia" w:hAnsi="Arial" w:cs="Arial"/>
          <w:b w:val="0"/>
          <w:sz w:val="18"/>
          <w:szCs w:val="18"/>
        </w:rPr>
        <w:footnoteRef/>
      </w:r>
      <w:r w:rsidRPr="00D604DD">
        <w:rPr>
          <w:rFonts w:ascii="Arial" w:hAnsi="Arial" w:cs="Arial"/>
          <w:b w:val="0"/>
          <w:sz w:val="18"/>
          <w:szCs w:val="18"/>
        </w:rPr>
        <w:t xml:space="preserve"> </w:t>
      </w:r>
      <w:r>
        <w:rPr>
          <w:rFonts w:ascii="Arial" w:hAnsi="Arial" w:cs="Arial"/>
          <w:b w:val="0"/>
          <w:sz w:val="18"/>
          <w:szCs w:val="18"/>
        </w:rPr>
        <w:t>N</w:t>
      </w:r>
      <w:r w:rsidRPr="00D604DD">
        <w:rPr>
          <w:rFonts w:ascii="Arial" w:hAnsi="Arial" w:cs="Arial"/>
          <w:b w:val="0"/>
          <w:sz w:val="18"/>
          <w:szCs w:val="18"/>
        </w:rPr>
        <w:t xml:space="preserve">ow known as the </w:t>
      </w:r>
      <w:r w:rsidRPr="00E56E79">
        <w:rPr>
          <w:rFonts w:ascii="Arial" w:hAnsi="Arial" w:cs="Arial"/>
          <w:b w:val="0"/>
          <w:sz w:val="18"/>
          <w:szCs w:val="18"/>
        </w:rPr>
        <w:t>Australia and New Zealand Ministerial Forum on Food Regulation</w:t>
      </w:r>
      <w:r w:rsidRPr="00CA6A02">
        <w:rPr>
          <w:sz w:val="18"/>
          <w:szCs w:val="18"/>
        </w:rPr>
        <w:t xml:space="preserve"> </w:t>
      </w:r>
      <w:r>
        <w:rPr>
          <w:sz w:val="18"/>
          <w:szCs w:val="18"/>
        </w:rPr>
        <w:t>(</w:t>
      </w:r>
      <w:r w:rsidRPr="00E56E79">
        <w:rPr>
          <w:rFonts w:ascii="Arial" w:hAnsi="Arial" w:cs="Arial"/>
          <w:b w:val="0"/>
          <w:sz w:val="18"/>
          <w:szCs w:val="18"/>
        </w:rPr>
        <w:t>convening as the Australia and New Zealand Food Regulation Ministerial Council</w:t>
      </w:r>
      <w:r>
        <w:rPr>
          <w:rFonts w:ascii="Arial" w:hAnsi="Arial" w:cs="Arial"/>
          <w:b w:val="0"/>
          <w:sz w:val="18"/>
          <w:szCs w:val="18"/>
        </w:rPr>
        <w:t>)</w:t>
      </w:r>
    </w:p>
  </w:footnote>
  <w:footnote w:id="4">
    <w:p w:rsidR="007F73E3" w:rsidRPr="00191A7B" w:rsidRDefault="007F73E3" w:rsidP="001B6F44">
      <w:pPr>
        <w:pStyle w:val="FootnoteText"/>
        <w:rPr>
          <w:lang w:val="en-AU"/>
        </w:rPr>
      </w:pPr>
      <w:r>
        <w:rPr>
          <w:rStyle w:val="FootnoteReference"/>
          <w:rFonts w:eastAsiaTheme="majorEastAsia"/>
        </w:rPr>
        <w:footnoteRef/>
      </w:r>
      <w:r>
        <w:t xml:space="preserve"> </w:t>
      </w:r>
      <w:r w:rsidRPr="00191A7B">
        <w:rPr>
          <w:rFonts w:cs="Arial"/>
          <w:sz w:val="18"/>
          <w:szCs w:val="18"/>
        </w:rPr>
        <w:t xml:space="preserve">Under Proposal P1025 – Code Reform, this will likely become “if the food is recommended for infants </w:t>
      </w:r>
      <w:r w:rsidRPr="00191A7B">
        <w:rPr>
          <w:rFonts w:cs="Arial"/>
          <w:i/>
          <w:sz w:val="18"/>
          <w:szCs w:val="18"/>
        </w:rPr>
        <w:t>under the age of 6 months</w:t>
      </w:r>
      <w:r w:rsidRPr="00191A7B">
        <w:rPr>
          <w:rFonts w:cs="Arial"/>
          <w:sz w:val="18"/>
          <w:szCs w:val="18"/>
        </w:rPr>
        <w:t>—in association with the statement required by paragraph (b), the words ‘Not recommended for infants under the age of 4 months’</w:t>
      </w:r>
      <w:r>
        <w:rPr>
          <w:rFonts w:cs="Arial"/>
          <w:sz w:val="18"/>
          <w:szCs w:val="18"/>
        </w:rPr>
        <w:t xml:space="preserve">”  </w:t>
      </w:r>
    </w:p>
  </w:footnote>
  <w:footnote w:id="5">
    <w:p w:rsidR="007F73E3" w:rsidRPr="00191A7B" w:rsidRDefault="007F73E3" w:rsidP="008965FD">
      <w:pPr>
        <w:pStyle w:val="FootnoteText"/>
        <w:rPr>
          <w:lang w:val="en-AU"/>
        </w:rPr>
      </w:pPr>
      <w:r>
        <w:rPr>
          <w:rStyle w:val="FootnoteReference"/>
          <w:rFonts w:eastAsiaTheme="majorEastAsia"/>
        </w:rPr>
        <w:footnoteRef/>
      </w:r>
      <w:r>
        <w:t xml:space="preserve"> </w:t>
      </w:r>
      <w:r w:rsidRPr="00191A7B">
        <w:rPr>
          <w:rFonts w:cs="Arial"/>
          <w:sz w:val="18"/>
          <w:szCs w:val="18"/>
        </w:rPr>
        <w:t xml:space="preserve">Under Proposal P1025 – Code Reform, this will likely become “if the food is recommended for infants </w:t>
      </w:r>
      <w:r w:rsidRPr="00191A7B">
        <w:rPr>
          <w:rFonts w:cs="Arial"/>
          <w:i/>
          <w:sz w:val="18"/>
          <w:szCs w:val="18"/>
        </w:rPr>
        <w:t>under the age of 6 months</w:t>
      </w:r>
      <w:r w:rsidRPr="00191A7B">
        <w:rPr>
          <w:rFonts w:cs="Arial"/>
          <w:sz w:val="18"/>
          <w:szCs w:val="18"/>
        </w:rPr>
        <w:t>—in association with the statement required by paragraph (b), the words ‘Not recommended for infants under the age of 4 months’</w:t>
      </w:r>
      <w:r>
        <w:rPr>
          <w:rFonts w:cs="Arial"/>
          <w:sz w:val="18"/>
          <w:szCs w:val="18"/>
        </w:rPr>
        <w:t xml:space="preserve">”  </w:t>
      </w:r>
    </w:p>
  </w:footnote>
  <w:footnote w:id="6">
    <w:p w:rsidR="007F73E3" w:rsidRPr="008828D9" w:rsidRDefault="007F73E3" w:rsidP="00105084">
      <w:pPr>
        <w:pStyle w:val="Footnote"/>
        <w:rPr>
          <w:lang w:val="en-AU"/>
        </w:rPr>
      </w:pPr>
      <w:r w:rsidRPr="008828D9">
        <w:rPr>
          <w:rStyle w:val="FootnoteReference"/>
          <w:rFonts w:eastAsiaTheme="majorEastAsia"/>
        </w:rPr>
        <w:footnoteRef/>
      </w:r>
      <w:r w:rsidRPr="008828D9">
        <w:t xml:space="preserve"> </w:t>
      </w:r>
      <w:r>
        <w:rPr>
          <w:lang w:val="en-AU"/>
        </w:rPr>
        <w:t>Now known as the</w:t>
      </w:r>
      <w:r>
        <w:rPr>
          <w:rFonts w:cs="Helvetica"/>
          <w:lang w:val="en-AU"/>
        </w:rPr>
        <w:t xml:space="preserve"> 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18" w:rsidRDefault="00A33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18" w:rsidRDefault="00A33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3" w:rsidRDefault="007F73E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1B68CFC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D5DF5"/>
    <w:multiLevelType w:val="hybridMultilevel"/>
    <w:tmpl w:val="9B86F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7FF4457"/>
    <w:multiLevelType w:val="hybridMultilevel"/>
    <w:tmpl w:val="B75856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18FF2C89"/>
    <w:multiLevelType w:val="hybridMultilevel"/>
    <w:tmpl w:val="E7B6E45E"/>
    <w:lvl w:ilvl="0" w:tplc="0AFCCB6E">
      <w:start w:val="1"/>
      <w:numFmt w:val="decimal"/>
      <w:lvlText w:val="(%1)"/>
      <w:lvlJc w:val="left"/>
      <w:pPr>
        <w:tabs>
          <w:tab w:val="num" w:pos="859"/>
        </w:tabs>
        <w:ind w:left="859" w:hanging="870"/>
      </w:pPr>
      <w:rPr>
        <w:rFonts w:hint="default"/>
      </w:rPr>
    </w:lvl>
    <w:lvl w:ilvl="1" w:tplc="04090019">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5">
    <w:nsid w:val="1C6A5306"/>
    <w:multiLevelType w:val="multilevel"/>
    <w:tmpl w:val="A5400C3A"/>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E0722E"/>
    <w:multiLevelType w:val="hybridMultilevel"/>
    <w:tmpl w:val="617C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B834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F157D88"/>
    <w:multiLevelType w:val="multilevel"/>
    <w:tmpl w:val="8E82B3D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DB573C"/>
    <w:multiLevelType w:val="hybridMultilevel"/>
    <w:tmpl w:val="D3C8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0621B9"/>
    <w:multiLevelType w:val="hybridMultilevel"/>
    <w:tmpl w:val="27CC196C"/>
    <w:lvl w:ilvl="0" w:tplc="0C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BF61984"/>
    <w:multiLevelType w:val="hybridMultilevel"/>
    <w:tmpl w:val="43AEE0B6"/>
    <w:lvl w:ilvl="0" w:tplc="5A165C86">
      <w:start w:val="1"/>
      <w:numFmt w:val="bullet"/>
      <w:pStyle w:val="FSBullet10"/>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4685C"/>
    <w:multiLevelType w:val="hybridMultilevel"/>
    <w:tmpl w:val="89E83400"/>
    <w:lvl w:ilvl="0" w:tplc="4378B8A6">
      <w:start w:val="1"/>
      <w:numFmt w:val="decimal"/>
      <w:lvlText w:val="%1."/>
      <w:lvlJc w:val="left"/>
      <w:pPr>
        <w:ind w:left="930" w:hanging="570"/>
      </w:pPr>
      <w:rPr>
        <w:rFonts w:ascii="Arial" w:eastAsia="Times New Roman" w:hAnsi="Arial" w:cs="Arial"/>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927025"/>
    <w:multiLevelType w:val="hybridMultilevel"/>
    <w:tmpl w:val="A58EC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E359FC"/>
    <w:multiLevelType w:val="hybridMultilevel"/>
    <w:tmpl w:val="C7CA3A86"/>
    <w:lvl w:ilvl="0" w:tplc="992240BC">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97968B0"/>
    <w:multiLevelType w:val="hybridMultilevel"/>
    <w:tmpl w:val="0AA6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810141"/>
    <w:multiLevelType w:val="hybridMultilevel"/>
    <w:tmpl w:val="C7A6D0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BB06E0"/>
    <w:multiLevelType w:val="hybridMultilevel"/>
    <w:tmpl w:val="6350562A"/>
    <w:lvl w:ilvl="0" w:tplc="18F26EC4">
      <w:start w:val="1"/>
      <w:numFmt w:val="bullet"/>
      <w:lvlText w:val=""/>
      <w:lvlJc w:val="left"/>
      <w:pPr>
        <w:tabs>
          <w:tab w:val="num" w:pos="360"/>
        </w:tabs>
        <w:ind w:left="113" w:hanging="113"/>
      </w:pPr>
      <w:rPr>
        <w:rFonts w:ascii="Symbol" w:hAnsi="Symbol" w:hint="default"/>
        <w:sz w:val="22"/>
      </w:rPr>
    </w:lvl>
    <w:lvl w:ilvl="1" w:tplc="A4A838B8">
      <w:start w:val="1"/>
      <w:numFmt w:val="bullet"/>
      <w:lvlText w:val=""/>
      <w:lvlJc w:val="left"/>
      <w:pPr>
        <w:tabs>
          <w:tab w:val="num" w:pos="1647"/>
        </w:tabs>
        <w:ind w:left="1647"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7B1021"/>
    <w:multiLevelType w:val="hybridMultilevel"/>
    <w:tmpl w:val="EED29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F4A589F"/>
    <w:multiLevelType w:val="hybridMultilevel"/>
    <w:tmpl w:val="FF7037B8"/>
    <w:lvl w:ilvl="0" w:tplc="A252908E">
      <w:start w:val="1"/>
      <w:numFmt w:val="decimal"/>
      <w:lvlText w:val="%1."/>
      <w:lvlJc w:val="left"/>
      <w:pPr>
        <w:ind w:left="720" w:hanging="360"/>
      </w:pPr>
      <w:rPr>
        <w:rFonts w:cs="Times New Roman" w:hint="default"/>
        <w:b/>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96221C4"/>
    <w:multiLevelType w:val="hybridMultilevel"/>
    <w:tmpl w:val="03B2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1A337B5"/>
    <w:multiLevelType w:val="hybridMultilevel"/>
    <w:tmpl w:val="483A46B2"/>
    <w:lvl w:ilvl="0" w:tplc="04C42AFA">
      <w:start w:val="1"/>
      <w:numFmt w:val="bullet"/>
      <w:lvlText w:val=""/>
      <w:lvlJc w:val="left"/>
      <w:pPr>
        <w:ind w:left="720" w:hanging="360"/>
      </w:pPr>
      <w:rPr>
        <w:rFonts w:ascii="Symbol" w:hAnsi="Symbol" w:hint="default"/>
        <w:sz w:val="22"/>
      </w:rPr>
    </w:lvl>
    <w:lvl w:ilvl="1" w:tplc="A4A838B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469A8"/>
    <w:multiLevelType w:val="hybridMultilevel"/>
    <w:tmpl w:val="211ED746"/>
    <w:lvl w:ilvl="0" w:tplc="1F624148">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28"/>
  </w:num>
  <w:num w:numId="9">
    <w:abstractNumId w:val="19"/>
  </w:num>
  <w:num w:numId="10">
    <w:abstractNumId w:val="23"/>
  </w:num>
  <w:num w:numId="11">
    <w:abstractNumId w:val="28"/>
  </w:num>
  <w:num w:numId="12">
    <w:abstractNumId w:val="19"/>
  </w:num>
  <w:num w:numId="13">
    <w:abstractNumId w:val="2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7"/>
  </w:num>
  <w:num w:numId="18">
    <w:abstractNumId w:val="20"/>
  </w:num>
  <w:num w:numId="19">
    <w:abstractNumId w:val="2"/>
  </w:num>
  <w:num w:numId="20">
    <w:abstractNumId w:val="5"/>
  </w:num>
  <w:num w:numId="21">
    <w:abstractNumId w:val="14"/>
  </w:num>
  <w:num w:numId="22">
    <w:abstractNumId w:val="4"/>
  </w:num>
  <w:num w:numId="23">
    <w:abstractNumId w:val="15"/>
  </w:num>
  <w:num w:numId="24">
    <w:abstractNumId w:val="17"/>
  </w:num>
  <w:num w:numId="25">
    <w:abstractNumId w:val="29"/>
  </w:num>
  <w:num w:numId="26">
    <w:abstractNumId w:val="3"/>
  </w:num>
  <w:num w:numId="27">
    <w:abstractNumId w:val="1"/>
  </w:num>
  <w:num w:numId="28">
    <w:abstractNumId w:val="21"/>
  </w:num>
  <w:num w:numId="29">
    <w:abstractNumId w:val="25"/>
  </w:num>
  <w:num w:numId="30">
    <w:abstractNumId w:val="10"/>
  </w:num>
  <w:num w:numId="31">
    <w:abstractNumId w:val="30"/>
  </w:num>
  <w:num w:numId="32">
    <w:abstractNumId w:val="27"/>
  </w:num>
  <w:num w:numId="33">
    <w:abstractNumId w:val="9"/>
  </w:num>
  <w:num w:numId="34">
    <w:abstractNumId w:val="24"/>
  </w:num>
  <w:num w:numId="35">
    <w:abstractNumId w:val="11"/>
  </w:num>
  <w:num w:numId="36">
    <w:abstractNumId w:val="8"/>
  </w:num>
  <w:num w:numId="37">
    <w:abstractNumId w:val="18"/>
  </w:num>
  <w:num w:numId="38">
    <w:abstractNumId w:val="22"/>
  </w:num>
  <w:num w:numId="39">
    <w:abstractNumId w:val="26"/>
  </w:num>
  <w:num w:numId="40">
    <w:abstractNumId w:val="14"/>
  </w:num>
  <w:num w:numId="41">
    <w:abstractNumId w:val="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4B7D56"/>
    <w:rsid w:val="0000542C"/>
    <w:rsid w:val="0001382F"/>
    <w:rsid w:val="00020E47"/>
    <w:rsid w:val="00027C7F"/>
    <w:rsid w:val="00041643"/>
    <w:rsid w:val="0004571B"/>
    <w:rsid w:val="00053311"/>
    <w:rsid w:val="00055B3D"/>
    <w:rsid w:val="000622E7"/>
    <w:rsid w:val="00066854"/>
    <w:rsid w:val="00066D85"/>
    <w:rsid w:val="000878E4"/>
    <w:rsid w:val="000A2A23"/>
    <w:rsid w:val="000A32DA"/>
    <w:rsid w:val="000A38F8"/>
    <w:rsid w:val="000A3BCD"/>
    <w:rsid w:val="000B08D9"/>
    <w:rsid w:val="000B3AC4"/>
    <w:rsid w:val="000D02A6"/>
    <w:rsid w:val="000D34B8"/>
    <w:rsid w:val="000D761D"/>
    <w:rsid w:val="000E5A81"/>
    <w:rsid w:val="000F2196"/>
    <w:rsid w:val="000F3BF8"/>
    <w:rsid w:val="000F4D49"/>
    <w:rsid w:val="001000B0"/>
    <w:rsid w:val="001003C0"/>
    <w:rsid w:val="00102197"/>
    <w:rsid w:val="00105084"/>
    <w:rsid w:val="00106707"/>
    <w:rsid w:val="00110281"/>
    <w:rsid w:val="00116297"/>
    <w:rsid w:val="001445FD"/>
    <w:rsid w:val="00155307"/>
    <w:rsid w:val="0016399D"/>
    <w:rsid w:val="001734EA"/>
    <w:rsid w:val="00173D8D"/>
    <w:rsid w:val="00184403"/>
    <w:rsid w:val="00186E32"/>
    <w:rsid w:val="00187F85"/>
    <w:rsid w:val="00191770"/>
    <w:rsid w:val="001936A6"/>
    <w:rsid w:val="001A2E63"/>
    <w:rsid w:val="001B29CB"/>
    <w:rsid w:val="001B5C74"/>
    <w:rsid w:val="001B631D"/>
    <w:rsid w:val="001B6A1B"/>
    <w:rsid w:val="001B6F44"/>
    <w:rsid w:val="001C5126"/>
    <w:rsid w:val="001D1282"/>
    <w:rsid w:val="001D73DF"/>
    <w:rsid w:val="001E696B"/>
    <w:rsid w:val="001F1D91"/>
    <w:rsid w:val="002073B6"/>
    <w:rsid w:val="00207521"/>
    <w:rsid w:val="00214B1D"/>
    <w:rsid w:val="002168BF"/>
    <w:rsid w:val="0021758D"/>
    <w:rsid w:val="00220AE6"/>
    <w:rsid w:val="002232B1"/>
    <w:rsid w:val="00230316"/>
    <w:rsid w:val="002341BF"/>
    <w:rsid w:val="00234C31"/>
    <w:rsid w:val="00256944"/>
    <w:rsid w:val="002610CA"/>
    <w:rsid w:val="002704B2"/>
    <w:rsid w:val="002810FC"/>
    <w:rsid w:val="002835BD"/>
    <w:rsid w:val="002A5838"/>
    <w:rsid w:val="002A764F"/>
    <w:rsid w:val="002B29F7"/>
    <w:rsid w:val="002D2019"/>
    <w:rsid w:val="002D24E1"/>
    <w:rsid w:val="002D3698"/>
    <w:rsid w:val="002E048D"/>
    <w:rsid w:val="002F6195"/>
    <w:rsid w:val="002F6C36"/>
    <w:rsid w:val="002F729B"/>
    <w:rsid w:val="00301F23"/>
    <w:rsid w:val="003147D5"/>
    <w:rsid w:val="0033021F"/>
    <w:rsid w:val="00341D25"/>
    <w:rsid w:val="003933C9"/>
    <w:rsid w:val="003A3014"/>
    <w:rsid w:val="003B3688"/>
    <w:rsid w:val="003C20BC"/>
    <w:rsid w:val="003C3319"/>
    <w:rsid w:val="003C446F"/>
    <w:rsid w:val="003C4527"/>
    <w:rsid w:val="003D2975"/>
    <w:rsid w:val="003E43D8"/>
    <w:rsid w:val="003F09C9"/>
    <w:rsid w:val="003F766A"/>
    <w:rsid w:val="0040068B"/>
    <w:rsid w:val="00403939"/>
    <w:rsid w:val="00404702"/>
    <w:rsid w:val="00417EAF"/>
    <w:rsid w:val="00432A37"/>
    <w:rsid w:val="00441D77"/>
    <w:rsid w:val="00443F05"/>
    <w:rsid w:val="00452685"/>
    <w:rsid w:val="00470721"/>
    <w:rsid w:val="0047217E"/>
    <w:rsid w:val="004817ED"/>
    <w:rsid w:val="004851B4"/>
    <w:rsid w:val="00485D92"/>
    <w:rsid w:val="00486619"/>
    <w:rsid w:val="004A5A11"/>
    <w:rsid w:val="004A6D67"/>
    <w:rsid w:val="004A7580"/>
    <w:rsid w:val="004B7D56"/>
    <w:rsid w:val="004D2F6D"/>
    <w:rsid w:val="004D3868"/>
    <w:rsid w:val="004E31FE"/>
    <w:rsid w:val="004E3587"/>
    <w:rsid w:val="004E6694"/>
    <w:rsid w:val="0050184B"/>
    <w:rsid w:val="0051711D"/>
    <w:rsid w:val="0053012D"/>
    <w:rsid w:val="0054036E"/>
    <w:rsid w:val="005509C4"/>
    <w:rsid w:val="005510B6"/>
    <w:rsid w:val="005725CB"/>
    <w:rsid w:val="005735E4"/>
    <w:rsid w:val="005A034C"/>
    <w:rsid w:val="005B578D"/>
    <w:rsid w:val="005C1996"/>
    <w:rsid w:val="005C346D"/>
    <w:rsid w:val="0060214E"/>
    <w:rsid w:val="006044D0"/>
    <w:rsid w:val="00631048"/>
    <w:rsid w:val="006360E7"/>
    <w:rsid w:val="00647CB1"/>
    <w:rsid w:val="006738B0"/>
    <w:rsid w:val="00684E2B"/>
    <w:rsid w:val="00691668"/>
    <w:rsid w:val="00693FF6"/>
    <w:rsid w:val="006A688F"/>
    <w:rsid w:val="006B6896"/>
    <w:rsid w:val="006B6900"/>
    <w:rsid w:val="006B7878"/>
    <w:rsid w:val="006C62A3"/>
    <w:rsid w:val="006D1E41"/>
    <w:rsid w:val="006D473E"/>
    <w:rsid w:val="006D797E"/>
    <w:rsid w:val="006F0430"/>
    <w:rsid w:val="006F3F8F"/>
    <w:rsid w:val="006F76CD"/>
    <w:rsid w:val="00720DAD"/>
    <w:rsid w:val="00756546"/>
    <w:rsid w:val="0076617A"/>
    <w:rsid w:val="00767E2D"/>
    <w:rsid w:val="00784537"/>
    <w:rsid w:val="00785D09"/>
    <w:rsid w:val="00793DE6"/>
    <w:rsid w:val="007C34FB"/>
    <w:rsid w:val="007E0B27"/>
    <w:rsid w:val="007F3212"/>
    <w:rsid w:val="007F6456"/>
    <w:rsid w:val="007F73E3"/>
    <w:rsid w:val="0080203A"/>
    <w:rsid w:val="0082253E"/>
    <w:rsid w:val="00825AB7"/>
    <w:rsid w:val="00827866"/>
    <w:rsid w:val="00830393"/>
    <w:rsid w:val="00833D5A"/>
    <w:rsid w:val="008425B5"/>
    <w:rsid w:val="00844148"/>
    <w:rsid w:val="008479A3"/>
    <w:rsid w:val="008501D1"/>
    <w:rsid w:val="008503EE"/>
    <w:rsid w:val="00855400"/>
    <w:rsid w:val="00860EE7"/>
    <w:rsid w:val="008747DB"/>
    <w:rsid w:val="00877A81"/>
    <w:rsid w:val="0089112E"/>
    <w:rsid w:val="008931F6"/>
    <w:rsid w:val="008965FD"/>
    <w:rsid w:val="008A3EC1"/>
    <w:rsid w:val="008B473B"/>
    <w:rsid w:val="008B6723"/>
    <w:rsid w:val="008D459D"/>
    <w:rsid w:val="008E2339"/>
    <w:rsid w:val="0093072A"/>
    <w:rsid w:val="00935023"/>
    <w:rsid w:val="009432FF"/>
    <w:rsid w:val="00943790"/>
    <w:rsid w:val="009806A5"/>
    <w:rsid w:val="00980962"/>
    <w:rsid w:val="00993A33"/>
    <w:rsid w:val="0099739F"/>
    <w:rsid w:val="009A0F48"/>
    <w:rsid w:val="009B57B3"/>
    <w:rsid w:val="009B5D83"/>
    <w:rsid w:val="009E265A"/>
    <w:rsid w:val="00A04D59"/>
    <w:rsid w:val="00A06A1E"/>
    <w:rsid w:val="00A07099"/>
    <w:rsid w:val="00A23548"/>
    <w:rsid w:val="00A25B29"/>
    <w:rsid w:val="00A26F82"/>
    <w:rsid w:val="00A31C94"/>
    <w:rsid w:val="00A32C68"/>
    <w:rsid w:val="00A33B18"/>
    <w:rsid w:val="00A43155"/>
    <w:rsid w:val="00A43665"/>
    <w:rsid w:val="00A63B51"/>
    <w:rsid w:val="00A846C4"/>
    <w:rsid w:val="00A85B9D"/>
    <w:rsid w:val="00A86B4C"/>
    <w:rsid w:val="00A926FA"/>
    <w:rsid w:val="00A97BD2"/>
    <w:rsid w:val="00AA6FAC"/>
    <w:rsid w:val="00AA7DF9"/>
    <w:rsid w:val="00AB3CF1"/>
    <w:rsid w:val="00AC3574"/>
    <w:rsid w:val="00AC4F7D"/>
    <w:rsid w:val="00AC54EA"/>
    <w:rsid w:val="00AC7BAD"/>
    <w:rsid w:val="00AD0AB6"/>
    <w:rsid w:val="00AD0B58"/>
    <w:rsid w:val="00AE3AB3"/>
    <w:rsid w:val="00AE64F3"/>
    <w:rsid w:val="00B04EF7"/>
    <w:rsid w:val="00B1593D"/>
    <w:rsid w:val="00B168A3"/>
    <w:rsid w:val="00B32E92"/>
    <w:rsid w:val="00B456AF"/>
    <w:rsid w:val="00B47644"/>
    <w:rsid w:val="00B53154"/>
    <w:rsid w:val="00B65045"/>
    <w:rsid w:val="00B6785C"/>
    <w:rsid w:val="00B860B0"/>
    <w:rsid w:val="00B97DAF"/>
    <w:rsid w:val="00BA1351"/>
    <w:rsid w:val="00BB648A"/>
    <w:rsid w:val="00BC2133"/>
    <w:rsid w:val="00BC7936"/>
    <w:rsid w:val="00BD5FDC"/>
    <w:rsid w:val="00BE4F3A"/>
    <w:rsid w:val="00BF2777"/>
    <w:rsid w:val="00BF5E3E"/>
    <w:rsid w:val="00C007EB"/>
    <w:rsid w:val="00C019A6"/>
    <w:rsid w:val="00C12A71"/>
    <w:rsid w:val="00C145AD"/>
    <w:rsid w:val="00C240F8"/>
    <w:rsid w:val="00C24B82"/>
    <w:rsid w:val="00C27B3D"/>
    <w:rsid w:val="00C36E19"/>
    <w:rsid w:val="00C572A2"/>
    <w:rsid w:val="00C73A0C"/>
    <w:rsid w:val="00C84110"/>
    <w:rsid w:val="00C902EE"/>
    <w:rsid w:val="00C93C3A"/>
    <w:rsid w:val="00C96964"/>
    <w:rsid w:val="00CA1D37"/>
    <w:rsid w:val="00CA6A02"/>
    <w:rsid w:val="00CB30F1"/>
    <w:rsid w:val="00CE352E"/>
    <w:rsid w:val="00D04541"/>
    <w:rsid w:val="00D15AAC"/>
    <w:rsid w:val="00D31CD9"/>
    <w:rsid w:val="00D41D94"/>
    <w:rsid w:val="00D5526B"/>
    <w:rsid w:val="00D556D4"/>
    <w:rsid w:val="00D604DD"/>
    <w:rsid w:val="00D61444"/>
    <w:rsid w:val="00D61779"/>
    <w:rsid w:val="00D65C66"/>
    <w:rsid w:val="00D66962"/>
    <w:rsid w:val="00D721D9"/>
    <w:rsid w:val="00D7317D"/>
    <w:rsid w:val="00D82FDB"/>
    <w:rsid w:val="00D87D9C"/>
    <w:rsid w:val="00D92B3B"/>
    <w:rsid w:val="00DA7DED"/>
    <w:rsid w:val="00DB2523"/>
    <w:rsid w:val="00DB2531"/>
    <w:rsid w:val="00DD5413"/>
    <w:rsid w:val="00DD77A2"/>
    <w:rsid w:val="00DF0259"/>
    <w:rsid w:val="00DF070F"/>
    <w:rsid w:val="00DF4A30"/>
    <w:rsid w:val="00E0050C"/>
    <w:rsid w:val="00E03FB3"/>
    <w:rsid w:val="00E0505B"/>
    <w:rsid w:val="00E15931"/>
    <w:rsid w:val="00E20A91"/>
    <w:rsid w:val="00E2450C"/>
    <w:rsid w:val="00E319DA"/>
    <w:rsid w:val="00E3252F"/>
    <w:rsid w:val="00E340B5"/>
    <w:rsid w:val="00E4001E"/>
    <w:rsid w:val="00E42BB4"/>
    <w:rsid w:val="00E45AC2"/>
    <w:rsid w:val="00E53ACA"/>
    <w:rsid w:val="00E56E79"/>
    <w:rsid w:val="00E60C2A"/>
    <w:rsid w:val="00E744F1"/>
    <w:rsid w:val="00E91E91"/>
    <w:rsid w:val="00E9409E"/>
    <w:rsid w:val="00EB5934"/>
    <w:rsid w:val="00EC152F"/>
    <w:rsid w:val="00EC3C0D"/>
    <w:rsid w:val="00EC3FC1"/>
    <w:rsid w:val="00EE0A81"/>
    <w:rsid w:val="00EE5E57"/>
    <w:rsid w:val="00EF3AA9"/>
    <w:rsid w:val="00EF6E24"/>
    <w:rsid w:val="00F01168"/>
    <w:rsid w:val="00F05ABB"/>
    <w:rsid w:val="00F33C14"/>
    <w:rsid w:val="00F3740D"/>
    <w:rsid w:val="00F40B0F"/>
    <w:rsid w:val="00F4105E"/>
    <w:rsid w:val="00F616DA"/>
    <w:rsid w:val="00F76F95"/>
    <w:rsid w:val="00F861A1"/>
    <w:rsid w:val="00FA296F"/>
    <w:rsid w:val="00FB4BCA"/>
    <w:rsid w:val="00FC05AA"/>
    <w:rsid w:val="00FD4B8D"/>
    <w:rsid w:val="00FD5C3E"/>
    <w:rsid w:val="00FD5F89"/>
    <w:rsid w:val="00FF4CC4"/>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5" w:qFormat="1"/>
    <w:lsdException w:name="annotation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Table Classic 1" w:uiPriority="0"/>
    <w:lsdException w:name="Table Classic 2" w:uiPriority="0"/>
    <w:lsdException w:name="Table Colorful 3"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C3C0D"/>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4B7D56"/>
    <w:pPr>
      <w:keepNext/>
      <w:spacing w:before="240" w:after="240"/>
      <w:ind w:left="851" w:hanging="851"/>
      <w:outlineLvl w:val="0"/>
    </w:pPr>
    <w:rPr>
      <w:b/>
      <w:bCs/>
      <w:sz w:val="36"/>
      <w:szCs w:val="28"/>
      <w:lang w:bidi="ar-SA"/>
    </w:rPr>
  </w:style>
  <w:style w:type="paragraph" w:styleId="Heading2">
    <w:name w:val="heading 2"/>
    <w:aliases w:val="FSHeading 2,Section heading"/>
    <w:basedOn w:val="ListParagraph"/>
    <w:next w:val="Normal"/>
    <w:link w:val="Heading2Char"/>
    <w:uiPriority w:val="9"/>
    <w:unhideWhenUsed/>
    <w:qFormat/>
    <w:rsid w:val="00CA6A02"/>
    <w:pPr>
      <w:spacing w:before="240" w:after="240"/>
      <w:ind w:left="851" w:hanging="851"/>
      <w:jc w:val="both"/>
      <w:outlineLvl w:val="1"/>
    </w:pPr>
    <w:rPr>
      <w:rFonts w:ascii="Arial" w:hAnsi="Arial" w:cs="Arial"/>
      <w:b/>
      <w:sz w:val="28"/>
      <w:szCs w:val="28"/>
    </w:rPr>
  </w:style>
  <w:style w:type="paragraph" w:styleId="Heading3">
    <w:name w:val="heading 3"/>
    <w:aliases w:val="FSHeading 3,Subheading 1"/>
    <w:basedOn w:val="Normal"/>
    <w:next w:val="Normal"/>
    <w:link w:val="Heading3Char"/>
    <w:uiPriority w:val="9"/>
    <w:unhideWhenUsed/>
    <w:qFormat/>
    <w:rsid w:val="004B7D56"/>
    <w:pPr>
      <w:keepNext/>
      <w:spacing w:before="240" w:after="240"/>
      <w:ind w:left="851" w:hanging="851"/>
      <w:outlineLvl w:val="2"/>
    </w:pPr>
    <w:rPr>
      <w:b/>
      <w:bCs/>
      <w:lang w:eastAsia="en-AU" w:bidi="ar-SA"/>
    </w:rPr>
  </w:style>
  <w:style w:type="paragraph" w:styleId="Heading4">
    <w:name w:val="heading 4"/>
    <w:aliases w:val="FSHeading 4,Subheading 2"/>
    <w:basedOn w:val="Heading2"/>
    <w:next w:val="Normal"/>
    <w:link w:val="Heading4Char"/>
    <w:uiPriority w:val="9"/>
    <w:unhideWhenUsed/>
    <w:qFormat/>
    <w:rsid w:val="004B7D56"/>
    <w:pPr>
      <w:outlineLvl w:val="3"/>
    </w:pPr>
    <w:rPr>
      <w:rFonts w:cs="Times New Roman"/>
      <w:i/>
      <w:sz w:val="22"/>
    </w:rPr>
  </w:style>
  <w:style w:type="paragraph" w:styleId="Heading5">
    <w:name w:val="heading 5"/>
    <w:aliases w:val="FSHeading 5,Subheading 3"/>
    <w:basedOn w:val="Normal"/>
    <w:next w:val="Normal"/>
    <w:link w:val="Heading5Char"/>
    <w:uiPriority w:val="9"/>
    <w:unhideWhenUsed/>
    <w:qFormat/>
    <w:rsid w:val="004B7D56"/>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4B7D56"/>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4B7D56"/>
    <w:pPr>
      <w:spacing w:before="240" w:after="60"/>
      <w:outlineLvl w:val="6"/>
    </w:pPr>
  </w:style>
  <w:style w:type="paragraph" w:styleId="Heading8">
    <w:name w:val="heading 8"/>
    <w:basedOn w:val="Normal"/>
    <w:next w:val="Normal"/>
    <w:link w:val="Heading8Char"/>
    <w:uiPriority w:val="9"/>
    <w:unhideWhenUsed/>
    <w:rsid w:val="004B7D56"/>
    <w:pPr>
      <w:spacing w:before="240" w:after="60"/>
      <w:outlineLvl w:val="7"/>
    </w:pPr>
    <w:rPr>
      <w:i/>
      <w:iCs/>
    </w:rPr>
  </w:style>
  <w:style w:type="paragraph" w:styleId="Heading9">
    <w:name w:val="heading 9"/>
    <w:basedOn w:val="Normal"/>
    <w:next w:val="Normal"/>
    <w:link w:val="Heading9Char"/>
    <w:uiPriority w:val="9"/>
    <w:unhideWhenUsed/>
    <w:rsid w:val="004B7D5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4B7D56"/>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CA6A02"/>
    <w:rPr>
      <w:b/>
      <w:sz w:val="28"/>
      <w:szCs w:val="28"/>
      <w:lang w:val="en-NZ" w:eastAsia="en-NZ"/>
    </w:rPr>
  </w:style>
  <w:style w:type="character" w:customStyle="1" w:styleId="Heading3Char">
    <w:name w:val="Heading 3 Char"/>
    <w:aliases w:val="FSHeading 3 Char,Subheading 1 Char"/>
    <w:link w:val="Heading3"/>
    <w:uiPriority w:val="9"/>
    <w:rsid w:val="004B7D56"/>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4B7D56"/>
    <w:rPr>
      <w:rFonts w:cs="Times New Roman"/>
      <w:b/>
      <w:i/>
      <w:szCs w:val="28"/>
      <w:lang w:val="en-NZ" w:eastAsia="en-NZ"/>
    </w:rPr>
  </w:style>
  <w:style w:type="character" w:customStyle="1" w:styleId="Heading5Char">
    <w:name w:val="Heading 5 Char"/>
    <w:aliases w:val="FSHeading 5 Char,Subheading 3 Char"/>
    <w:link w:val="Heading5"/>
    <w:uiPriority w:val="9"/>
    <w:rsid w:val="004B7D56"/>
    <w:rPr>
      <w:rFonts w:eastAsia="Times New Roman" w:cs="Times New Roman"/>
      <w:i/>
      <w:lang w:val="en-GB"/>
    </w:rPr>
  </w:style>
  <w:style w:type="character" w:customStyle="1" w:styleId="Heading6Char">
    <w:name w:val="Heading 6 Char"/>
    <w:basedOn w:val="DefaultParagraphFont"/>
    <w:link w:val="Heading6"/>
    <w:uiPriority w:val="9"/>
    <w:rsid w:val="004B7D56"/>
    <w:rPr>
      <w:rFonts w:eastAsia="Times New Roman" w:cs="Arial Unicode MS"/>
      <w:b/>
      <w:bCs/>
      <w:lang w:val="en-GB" w:bidi="en-US"/>
    </w:rPr>
  </w:style>
  <w:style w:type="paragraph" w:customStyle="1" w:styleId="Table2">
    <w:name w:val="Table 2"/>
    <w:basedOn w:val="Normal"/>
    <w:rsid w:val="004B7D56"/>
    <w:pPr>
      <w:ind w:left="142" w:hanging="142"/>
    </w:pPr>
    <w:rPr>
      <w:bCs/>
      <w:sz w:val="18"/>
      <w:szCs w:val="20"/>
    </w:rPr>
  </w:style>
  <w:style w:type="paragraph" w:customStyle="1" w:styleId="131ItemHeading">
    <w:name w:val="1.3.1 Item Heading"/>
    <w:basedOn w:val="Table2"/>
    <w:next w:val="Table2"/>
    <w:uiPriority w:val="22"/>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404702"/>
    <w:pPr>
      <w:spacing w:after="120"/>
    </w:pPr>
    <w:rPr>
      <w:caps w:val="0"/>
      <w:sz w:val="18"/>
    </w:rPr>
  </w:style>
  <w:style w:type="paragraph" w:customStyle="1" w:styleId="142Tableheading1">
    <w:name w:val="1.4.2 Table heading1"/>
    <w:basedOn w:val="Normal"/>
    <w:uiPriority w:val="22"/>
    <w:rsid w:val="00404702"/>
    <w:pPr>
      <w:keepNext/>
      <w:jc w:val="center"/>
    </w:pPr>
    <w:rPr>
      <w:rFonts w:ascii="Arial Bold" w:hAnsi="Arial Bold"/>
      <w:b/>
      <w:bCs/>
      <w:iCs/>
      <w:sz w:val="18"/>
    </w:rPr>
  </w:style>
  <w:style w:type="paragraph" w:customStyle="1" w:styleId="142Tableheading2">
    <w:name w:val="1.4.2 Table heading2"/>
    <w:basedOn w:val="Normal"/>
    <w:rsid w:val="004B7D56"/>
    <w:pPr>
      <w:keepNext/>
      <w:jc w:val="center"/>
    </w:pPr>
    <w:rPr>
      <w:iCs/>
      <w:smallCaps/>
      <w:sz w:val="18"/>
      <w:szCs w:val="20"/>
    </w:rPr>
  </w:style>
  <w:style w:type="paragraph" w:customStyle="1" w:styleId="142Tabletext1">
    <w:name w:val="1.4.2 Table text1"/>
    <w:basedOn w:val="Normal"/>
    <w:link w:val="142Tabletext1Char"/>
    <w:uiPriority w:val="22"/>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rsid w:val="00404702"/>
    <w:pPr>
      <w:jc w:val="right"/>
    </w:pPr>
  </w:style>
  <w:style w:type="paragraph" w:customStyle="1" w:styleId="Blankpage">
    <w:name w:val="Blank page"/>
    <w:basedOn w:val="Normal"/>
    <w:next w:val="Normal"/>
    <w:uiPriority w:val="23"/>
    <w:rsid w:val="00404702"/>
    <w:pPr>
      <w:tabs>
        <w:tab w:val="left" w:pos="851"/>
      </w:tabs>
      <w:spacing w:before="6000"/>
      <w:jc w:val="center"/>
    </w:pPr>
    <w:rPr>
      <w:caps/>
      <w:szCs w:val="20"/>
    </w:rPr>
  </w:style>
  <w:style w:type="paragraph" w:customStyle="1" w:styleId="Clause">
    <w:name w:val="Clause"/>
    <w:basedOn w:val="Normal"/>
    <w:next w:val="Normal"/>
    <w:link w:val="ClauseChar"/>
    <w:rsid w:val="004B7D5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bidi="en-US"/>
    </w:rPr>
  </w:style>
  <w:style w:type="paragraph" w:customStyle="1" w:styleId="Clauseheading">
    <w:name w:val="Clause heading"/>
    <w:basedOn w:val="Normal"/>
    <w:next w:val="Normal"/>
    <w:rsid w:val="004B7D56"/>
    <w:pPr>
      <w:tabs>
        <w:tab w:val="left" w:pos="851"/>
      </w:tabs>
    </w:pPr>
    <w:rPr>
      <w:b/>
      <w:szCs w:val="20"/>
    </w:rPr>
  </w:style>
  <w:style w:type="paragraph" w:customStyle="1" w:styleId="ClauseList">
    <w:name w:val="Clause List"/>
    <w:basedOn w:val="Clause"/>
    <w:next w:val="Normal"/>
    <w:rsid w:val="004B7D56"/>
  </w:style>
  <w:style w:type="paragraph" w:customStyle="1" w:styleId="Definition">
    <w:name w:val="Definition"/>
    <w:basedOn w:val="Normal"/>
    <w:next w:val="Normal"/>
    <w:rsid w:val="004B7D56"/>
    <w:pPr>
      <w:ind w:left="1701" w:hanging="851"/>
    </w:pPr>
    <w:rPr>
      <w:sz w:val="20"/>
      <w:szCs w:val="20"/>
    </w:rPr>
  </w:style>
  <w:style w:type="paragraph" w:customStyle="1" w:styleId="DivisionHeading">
    <w:name w:val="Division Heading"/>
    <w:basedOn w:val="Normal"/>
    <w:next w:val="Normal"/>
    <w:rsid w:val="004B7D56"/>
    <w:pPr>
      <w:tabs>
        <w:tab w:val="left" w:pos="851"/>
      </w:tabs>
      <w:jc w:val="center"/>
    </w:pPr>
    <w:rPr>
      <w:b/>
      <w:sz w:val="28"/>
      <w:szCs w:val="20"/>
    </w:rPr>
  </w:style>
  <w:style w:type="paragraph" w:customStyle="1" w:styleId="EditorialNoteLine1">
    <w:name w:val="Editorial Note Line 1"/>
    <w:basedOn w:val="Normal"/>
    <w:next w:val="Normal"/>
    <w:rsid w:val="004B7D56"/>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4B7D56"/>
    <w:rPr>
      <w:b w:val="0"/>
    </w:rPr>
  </w:style>
  <w:style w:type="paragraph" w:styleId="Footer">
    <w:name w:val="footer"/>
    <w:aliases w:val="FSFooter"/>
    <w:basedOn w:val="Normal"/>
    <w:link w:val="FooterChar"/>
    <w:rsid w:val="004B7D56"/>
    <w:pPr>
      <w:tabs>
        <w:tab w:val="center" w:pos="4153"/>
        <w:tab w:val="right" w:pos="8306"/>
      </w:tabs>
    </w:pPr>
    <w:rPr>
      <w:sz w:val="20"/>
    </w:rPr>
  </w:style>
  <w:style w:type="character" w:customStyle="1" w:styleId="FooterChar">
    <w:name w:val="Footer Char"/>
    <w:aliases w:val="FSFooter Char"/>
    <w:basedOn w:val="DefaultParagraphFont"/>
    <w:link w:val="Footer"/>
    <w:rsid w:val="004B7D56"/>
    <w:rPr>
      <w:rFonts w:eastAsia="Times New Roman" w:cs="Times New Roman"/>
      <w:sz w:val="20"/>
      <w:szCs w:val="24"/>
      <w:lang w:val="en-GB" w:bidi="en-US"/>
    </w:rPr>
  </w:style>
  <w:style w:type="paragraph" w:styleId="FootnoteText">
    <w:name w:val="footnote text"/>
    <w:aliases w:val="Footnotes Text,FSFootnotes Text"/>
    <w:basedOn w:val="Normal"/>
    <w:link w:val="FootnoteTextChar"/>
    <w:uiPriority w:val="5"/>
    <w:qFormat/>
    <w:rsid w:val="004B7D56"/>
    <w:rPr>
      <w:sz w:val="20"/>
      <w:szCs w:val="20"/>
    </w:rPr>
  </w:style>
  <w:style w:type="character" w:customStyle="1" w:styleId="FootnoteTextChar">
    <w:name w:val="Footnote Text Char"/>
    <w:aliases w:val="Footnotes Text Char,FSFootnotes Text Char"/>
    <w:basedOn w:val="DefaultParagraphFont"/>
    <w:link w:val="FootnoteText"/>
    <w:uiPriority w:val="5"/>
    <w:rsid w:val="004B7D56"/>
    <w:rPr>
      <w:rFonts w:eastAsia="Times New Roman" w:cs="Times New Roman"/>
      <w:sz w:val="20"/>
      <w:szCs w:val="20"/>
      <w:lang w:val="en-GB" w:bidi="en-US"/>
    </w:rPr>
  </w:style>
  <w:style w:type="paragraph" w:customStyle="1" w:styleId="FSBullet1">
    <w:name w:val="FSBullet 1"/>
    <w:basedOn w:val="Normal"/>
    <w:next w:val="Normal"/>
    <w:link w:val="FSBullet1Char"/>
    <w:qFormat/>
    <w:rsid w:val="00EC3C0D"/>
    <w:pPr>
      <w:numPr>
        <w:numId w:val="17"/>
      </w:numPr>
    </w:pPr>
    <w:rPr>
      <w:rFonts w:cs="Arial"/>
      <w:lang w:bidi="ar-SA"/>
    </w:rPr>
  </w:style>
  <w:style w:type="character" w:customStyle="1" w:styleId="FSBullet1Char">
    <w:name w:val="FSBullet 1 Char"/>
    <w:link w:val="FSBullet1"/>
    <w:rsid w:val="00EC3C0D"/>
    <w:rPr>
      <w:rFonts w:eastAsia="Times New Roman"/>
      <w:szCs w:val="24"/>
      <w:lang w:val="en-GB"/>
    </w:rPr>
  </w:style>
  <w:style w:type="paragraph" w:customStyle="1" w:styleId="FSBullet2">
    <w:name w:val="FSBullet 2"/>
    <w:basedOn w:val="Normal"/>
    <w:qFormat/>
    <w:rsid w:val="004B7D56"/>
    <w:pPr>
      <w:numPr>
        <w:numId w:val="18"/>
      </w:numPr>
    </w:pPr>
    <w:rPr>
      <w:rFonts w:eastAsia="Calibri"/>
      <w:szCs w:val="22"/>
      <w:lang w:bidi="ar-SA"/>
    </w:rPr>
  </w:style>
  <w:style w:type="paragraph" w:customStyle="1" w:styleId="FSBullet3">
    <w:name w:val="FSBullet 3"/>
    <w:basedOn w:val="Normal"/>
    <w:qFormat/>
    <w:rsid w:val="004B7D56"/>
    <w:pPr>
      <w:keepNext/>
      <w:numPr>
        <w:numId w:val="19"/>
      </w:numPr>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4B7D56"/>
  </w:style>
  <w:style w:type="character" w:customStyle="1" w:styleId="HeaderChar">
    <w:name w:val="Header Char"/>
    <w:aliases w:val="FSHeader Char"/>
    <w:basedOn w:val="DefaultParagraphFont"/>
    <w:link w:val="Header"/>
    <w:rsid w:val="004B7D56"/>
    <w:rPr>
      <w:rFonts w:eastAsia="Times New Roman" w:cs="Times New Roman"/>
      <w:szCs w:val="24"/>
      <w:lang w:val="en-GB" w:bidi="en-US"/>
    </w:rPr>
  </w:style>
  <w:style w:type="paragraph" w:customStyle="1" w:styleId="Paragraph">
    <w:name w:val="Paragraph"/>
    <w:basedOn w:val="Clause"/>
    <w:next w:val="Normal"/>
    <w:link w:val="ParagraphChar"/>
    <w:rsid w:val="004B7D56"/>
    <w:pPr>
      <w:tabs>
        <w:tab w:val="clear" w:pos="851"/>
      </w:tabs>
      <w:ind w:left="1702" w:hanging="851"/>
    </w:pPr>
  </w:style>
  <w:style w:type="paragraph" w:customStyle="1" w:styleId="ScheduleHeading">
    <w:name w:val="Schedule Heading"/>
    <w:basedOn w:val="Normal"/>
    <w:next w:val="Normal"/>
    <w:rsid w:val="004B7D56"/>
    <w:pPr>
      <w:tabs>
        <w:tab w:val="left" w:pos="851"/>
      </w:tabs>
      <w:jc w:val="center"/>
    </w:pPr>
    <w:rPr>
      <w:b/>
      <w:caps/>
      <w:sz w:val="20"/>
      <w:szCs w:val="20"/>
    </w:rPr>
  </w:style>
  <w:style w:type="paragraph" w:customStyle="1" w:styleId="Standardtitle">
    <w:name w:val="Standard title"/>
    <w:basedOn w:val="Normal"/>
    <w:rsid w:val="004B7D56"/>
    <w:pPr>
      <w:tabs>
        <w:tab w:val="left" w:pos="851"/>
      </w:tabs>
      <w:jc w:val="center"/>
    </w:pPr>
    <w:rPr>
      <w:b/>
      <w:i/>
      <w:iCs/>
      <w:caps/>
      <w:sz w:val="28"/>
      <w:szCs w:val="20"/>
    </w:rPr>
  </w:style>
  <w:style w:type="paragraph" w:customStyle="1" w:styleId="Subclause">
    <w:name w:val="Subclause"/>
    <w:basedOn w:val="Clause"/>
    <w:link w:val="SubclauseChar"/>
    <w:rsid w:val="004B7D56"/>
    <w:pPr>
      <w:ind w:hanging="11"/>
    </w:pPr>
  </w:style>
  <w:style w:type="paragraph" w:customStyle="1" w:styleId="Subparagraph">
    <w:name w:val="Subparagraph"/>
    <w:basedOn w:val="Paragraph"/>
    <w:next w:val="Normal"/>
    <w:rsid w:val="004B7D56"/>
    <w:pPr>
      <w:ind w:left="2553"/>
    </w:pPr>
  </w:style>
  <w:style w:type="paragraph" w:customStyle="1" w:styleId="Table1">
    <w:name w:val="Table 1"/>
    <w:basedOn w:val="Normal"/>
    <w:rsid w:val="004B7D56"/>
    <w:pPr>
      <w:spacing w:after="120"/>
      <w:jc w:val="center"/>
    </w:pPr>
    <w:rPr>
      <w:b/>
      <w:bCs/>
      <w:sz w:val="18"/>
      <w:szCs w:val="20"/>
    </w:rPr>
  </w:style>
  <w:style w:type="paragraph" w:customStyle="1" w:styleId="TitleBorder">
    <w:name w:val="TitleBorder"/>
    <w:basedOn w:val="Normal"/>
    <w:rsid w:val="004B7D56"/>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4B7D56"/>
    <w:pPr>
      <w:ind w:left="720"/>
    </w:pPr>
    <w:rPr>
      <w:rFonts w:ascii="Calibri" w:eastAsiaTheme="minorHAnsi" w:hAnsi="Calibri" w:cs="Calibri"/>
      <w:szCs w:val="22"/>
      <w:lang w:val="en-NZ" w:eastAsia="en-NZ" w:bidi="ar-SA"/>
    </w:rPr>
  </w:style>
  <w:style w:type="character" w:customStyle="1" w:styleId="Heading7Char">
    <w:name w:val="Heading 7 Char"/>
    <w:basedOn w:val="DefaultParagraphFont"/>
    <w:link w:val="Heading7"/>
    <w:uiPriority w:val="9"/>
    <w:rsid w:val="004B7D56"/>
    <w:rPr>
      <w:rFonts w:eastAsia="Times New Roman" w:cs="Times New Roman"/>
      <w:szCs w:val="24"/>
      <w:lang w:val="en-GB" w:bidi="en-US"/>
    </w:rPr>
  </w:style>
  <w:style w:type="character" w:customStyle="1" w:styleId="Heading8Char">
    <w:name w:val="Heading 8 Char"/>
    <w:basedOn w:val="DefaultParagraphFont"/>
    <w:link w:val="Heading8"/>
    <w:uiPriority w:val="9"/>
    <w:rsid w:val="004B7D56"/>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4B7D56"/>
    <w:rPr>
      <w:rFonts w:ascii="Cambria" w:eastAsia="Times New Roman" w:hAnsi="Cambria" w:cs="Times New Roman"/>
      <w:lang w:val="en-GB" w:bidi="en-US"/>
    </w:rPr>
  </w:style>
  <w:style w:type="character" w:styleId="Hyperlink">
    <w:name w:val="Hyperlink"/>
    <w:basedOn w:val="DefaultParagraphFont"/>
    <w:uiPriority w:val="99"/>
    <w:rsid w:val="003C20BC"/>
    <w:rPr>
      <w:color w:val="0000FF"/>
      <w:u w:val="single"/>
    </w:rPr>
  </w:style>
  <w:style w:type="paragraph" w:customStyle="1" w:styleId="FSTitle">
    <w:name w:val="FS Title"/>
    <w:basedOn w:val="Normal"/>
    <w:qFormat/>
    <w:rsid w:val="004B7D56"/>
    <w:rPr>
      <w:rFonts w:cs="Tahoma"/>
      <w:bCs/>
      <w:sz w:val="32"/>
    </w:rPr>
  </w:style>
  <w:style w:type="paragraph" w:customStyle="1" w:styleId="FSDash">
    <w:name w:val="FS Dash"/>
    <w:basedOn w:val="Normal"/>
    <w:qFormat/>
    <w:rsid w:val="004B7D56"/>
    <w:pPr>
      <w:numPr>
        <w:numId w:val="15"/>
      </w:numPr>
      <w:ind w:left="1134" w:hanging="567"/>
    </w:pPr>
  </w:style>
  <w:style w:type="paragraph" w:styleId="TOC1">
    <w:name w:val="toc 1"/>
    <w:basedOn w:val="Normal"/>
    <w:next w:val="Normal"/>
    <w:autoRedefine/>
    <w:uiPriority w:val="39"/>
    <w:rsid w:val="004B7D56"/>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4B7D56"/>
    <w:pPr>
      <w:ind w:left="220"/>
    </w:pPr>
    <w:rPr>
      <w:rFonts w:asciiTheme="minorHAnsi" w:hAnsiTheme="minorHAnsi" w:cstheme="minorHAnsi"/>
      <w:smallCaps/>
      <w:sz w:val="20"/>
      <w:szCs w:val="20"/>
    </w:rPr>
  </w:style>
  <w:style w:type="character" w:styleId="PageNumber">
    <w:name w:val="page number"/>
    <w:basedOn w:val="DefaultParagraphFont"/>
    <w:rsid w:val="004B7D56"/>
    <w:rPr>
      <w:rFonts w:ascii="Arial" w:hAnsi="Arial"/>
      <w:sz w:val="20"/>
    </w:rPr>
  </w:style>
  <w:style w:type="paragraph" w:styleId="TOC3">
    <w:name w:val="toc 3"/>
    <w:basedOn w:val="Normal"/>
    <w:next w:val="Normal"/>
    <w:autoRedefine/>
    <w:uiPriority w:val="39"/>
    <w:rsid w:val="004B7D56"/>
    <w:pPr>
      <w:ind w:left="440"/>
    </w:pPr>
    <w:rPr>
      <w:rFonts w:asciiTheme="minorHAnsi" w:hAnsiTheme="minorHAnsi" w:cstheme="minorHAnsi"/>
      <w:i/>
      <w:iCs/>
      <w:sz w:val="20"/>
      <w:szCs w:val="20"/>
    </w:rPr>
  </w:style>
  <w:style w:type="paragraph" w:styleId="TOC4">
    <w:name w:val="toc 4"/>
    <w:basedOn w:val="Normal"/>
    <w:next w:val="Normal"/>
    <w:autoRedefine/>
    <w:semiHidden/>
    <w:rsid w:val="004B7D56"/>
    <w:pPr>
      <w:ind w:left="660"/>
    </w:pPr>
    <w:rPr>
      <w:rFonts w:asciiTheme="minorHAnsi" w:hAnsiTheme="minorHAnsi" w:cstheme="minorHAnsi"/>
      <w:sz w:val="18"/>
      <w:szCs w:val="18"/>
    </w:rPr>
  </w:style>
  <w:style w:type="paragraph" w:styleId="TOC5">
    <w:name w:val="toc 5"/>
    <w:basedOn w:val="Normal"/>
    <w:next w:val="Normal"/>
    <w:autoRedefine/>
    <w:semiHidden/>
    <w:rsid w:val="004B7D56"/>
    <w:pPr>
      <w:ind w:left="880"/>
    </w:pPr>
    <w:rPr>
      <w:rFonts w:asciiTheme="minorHAnsi" w:hAnsiTheme="minorHAnsi" w:cstheme="minorHAnsi"/>
      <w:sz w:val="18"/>
      <w:szCs w:val="18"/>
    </w:rPr>
  </w:style>
  <w:style w:type="character" w:styleId="FollowedHyperlink">
    <w:name w:val="FollowedHyperlink"/>
    <w:basedOn w:val="DefaultParagraphFont"/>
    <w:rsid w:val="004B7D56"/>
    <w:rPr>
      <w:color w:val="800080"/>
      <w:u w:val="single"/>
    </w:rPr>
  </w:style>
  <w:style w:type="paragraph" w:styleId="TOC6">
    <w:name w:val="toc 6"/>
    <w:basedOn w:val="Normal"/>
    <w:next w:val="Normal"/>
    <w:autoRedefine/>
    <w:semiHidden/>
    <w:rsid w:val="004B7D56"/>
    <w:pPr>
      <w:ind w:left="1100"/>
    </w:pPr>
    <w:rPr>
      <w:rFonts w:asciiTheme="minorHAnsi" w:hAnsiTheme="minorHAnsi" w:cstheme="minorHAnsi"/>
      <w:sz w:val="18"/>
      <w:szCs w:val="18"/>
    </w:rPr>
  </w:style>
  <w:style w:type="paragraph" w:customStyle="1" w:styleId="142tableheading10">
    <w:name w:val="1.4.2 table heading1"/>
    <w:basedOn w:val="142Tableheading2"/>
    <w:rsid w:val="004B7D56"/>
    <w:rPr>
      <w:b/>
      <w:bCs/>
      <w:iCs w:val="0"/>
    </w:rPr>
  </w:style>
  <w:style w:type="paragraph" w:customStyle="1" w:styleId="142tabletext10">
    <w:name w:val="1.4.2 table text1"/>
    <w:basedOn w:val="Normal"/>
    <w:rsid w:val="004B7D56"/>
    <w:pPr>
      <w:ind w:left="142" w:hanging="142"/>
    </w:pPr>
    <w:rPr>
      <w:smallCaps/>
      <w:sz w:val="18"/>
      <w:szCs w:val="20"/>
    </w:rPr>
  </w:style>
  <w:style w:type="paragraph" w:customStyle="1" w:styleId="142tabletext20">
    <w:name w:val="1.4.2 table text2"/>
    <w:basedOn w:val="142tabletext10"/>
    <w:rsid w:val="004B7D56"/>
  </w:style>
  <w:style w:type="paragraph" w:customStyle="1" w:styleId="Footnote">
    <w:name w:val="Footnote"/>
    <w:basedOn w:val="Normal"/>
    <w:rsid w:val="004B7D56"/>
    <w:pPr>
      <w:tabs>
        <w:tab w:val="left" w:pos="851"/>
      </w:tabs>
    </w:pPr>
    <w:rPr>
      <w:sz w:val="18"/>
      <w:szCs w:val="20"/>
    </w:rPr>
  </w:style>
  <w:style w:type="paragraph" w:customStyle="1" w:styleId="MiscellaneousHeading">
    <w:name w:val="Miscellaneous Heading"/>
    <w:basedOn w:val="Normal"/>
    <w:next w:val="Normal"/>
    <w:rsid w:val="004B7D56"/>
    <w:rPr>
      <w:b/>
      <w:sz w:val="20"/>
      <w:szCs w:val="20"/>
    </w:rPr>
  </w:style>
  <w:style w:type="paragraph" w:customStyle="1" w:styleId="TableHeading">
    <w:name w:val="Table Heading"/>
    <w:basedOn w:val="Normal"/>
    <w:next w:val="Normal"/>
    <w:rsid w:val="004B7D56"/>
    <w:pPr>
      <w:tabs>
        <w:tab w:val="left" w:pos="851"/>
      </w:tabs>
      <w:jc w:val="center"/>
    </w:pPr>
    <w:rPr>
      <w:b/>
      <w:sz w:val="20"/>
      <w:szCs w:val="20"/>
    </w:rPr>
  </w:style>
  <w:style w:type="paragraph" w:styleId="TOC7">
    <w:name w:val="toc 7"/>
    <w:basedOn w:val="Normal"/>
    <w:next w:val="Normal"/>
    <w:autoRedefine/>
    <w:semiHidden/>
    <w:rsid w:val="004B7D56"/>
    <w:pPr>
      <w:ind w:left="1320"/>
    </w:pPr>
    <w:rPr>
      <w:rFonts w:asciiTheme="minorHAnsi" w:hAnsiTheme="minorHAnsi" w:cstheme="minorHAnsi"/>
      <w:sz w:val="18"/>
      <w:szCs w:val="18"/>
    </w:rPr>
  </w:style>
  <w:style w:type="paragraph" w:styleId="TOC8">
    <w:name w:val="toc 8"/>
    <w:basedOn w:val="Normal"/>
    <w:next w:val="Normal"/>
    <w:autoRedefine/>
    <w:semiHidden/>
    <w:rsid w:val="004B7D56"/>
    <w:pPr>
      <w:ind w:left="1540"/>
    </w:pPr>
    <w:rPr>
      <w:rFonts w:asciiTheme="minorHAnsi" w:hAnsiTheme="minorHAnsi" w:cstheme="minorHAnsi"/>
      <w:sz w:val="18"/>
      <w:szCs w:val="18"/>
    </w:rPr>
  </w:style>
  <w:style w:type="paragraph" w:styleId="TOC9">
    <w:name w:val="toc 9"/>
    <w:basedOn w:val="Normal"/>
    <w:next w:val="Normal"/>
    <w:autoRedefine/>
    <w:semiHidden/>
    <w:rsid w:val="004B7D56"/>
    <w:pPr>
      <w:ind w:left="1760"/>
    </w:pPr>
    <w:rPr>
      <w:rFonts w:asciiTheme="minorHAnsi" w:hAnsiTheme="minorHAnsi" w:cstheme="minorHAnsi"/>
      <w:sz w:val="18"/>
      <w:szCs w:val="18"/>
    </w:rPr>
  </w:style>
  <w:style w:type="character" w:styleId="FootnoteReference">
    <w:name w:val="footnote reference"/>
    <w:basedOn w:val="DefaultParagraphFont"/>
    <w:rsid w:val="004B7D56"/>
    <w:rPr>
      <w:vertAlign w:val="superscript"/>
    </w:rPr>
  </w:style>
  <w:style w:type="paragraph" w:customStyle="1" w:styleId="FSDecisionHeading">
    <w:name w:val="FS Decision Heading"/>
    <w:basedOn w:val="Normal"/>
    <w:next w:val="FSDecisiontext"/>
    <w:qFormat/>
    <w:rsid w:val="004B7D56"/>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4B7D56"/>
    <w:pPr>
      <w:pBdr>
        <w:top w:val="single" w:sz="4" w:space="1" w:color="auto"/>
        <w:left w:val="single" w:sz="4" w:space="4" w:color="auto"/>
        <w:bottom w:val="single" w:sz="4" w:space="1" w:color="auto"/>
        <w:right w:val="single" w:sz="4" w:space="4" w:color="auto"/>
      </w:pBdr>
    </w:pPr>
    <w:rPr>
      <w:rFonts w:ascii="Arial Bold" w:hAnsi="Arial Bold"/>
    </w:rPr>
  </w:style>
  <w:style w:type="paragraph" w:styleId="BalloonText">
    <w:name w:val="Balloon Text"/>
    <w:basedOn w:val="Normal"/>
    <w:link w:val="BalloonTextChar"/>
    <w:semiHidden/>
    <w:rsid w:val="004B7D56"/>
    <w:rPr>
      <w:rFonts w:ascii="Tahoma" w:hAnsi="Tahoma" w:cs="Tahoma"/>
      <w:sz w:val="16"/>
      <w:szCs w:val="16"/>
    </w:rPr>
  </w:style>
  <w:style w:type="character" w:customStyle="1" w:styleId="BalloonTextChar">
    <w:name w:val="Balloon Text Char"/>
    <w:basedOn w:val="DefaultParagraphFont"/>
    <w:link w:val="BalloonText"/>
    <w:semiHidden/>
    <w:rsid w:val="004B7D56"/>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4B7D56"/>
    <w:pPr>
      <w:outlineLvl w:val="9"/>
    </w:pPr>
  </w:style>
  <w:style w:type="paragraph" w:customStyle="1" w:styleId="FSBullet">
    <w:name w:val="FS Bullet"/>
    <w:basedOn w:val="FSBullet10"/>
    <w:next w:val="Normal"/>
    <w:link w:val="FSBulletChar"/>
    <w:rsid w:val="004B7D56"/>
  </w:style>
  <w:style w:type="character" w:customStyle="1" w:styleId="FSBulletChar">
    <w:name w:val="FS Bullet Char"/>
    <w:basedOn w:val="DefaultParagraphFont"/>
    <w:link w:val="FSBullet"/>
    <w:rsid w:val="004B7D56"/>
    <w:rPr>
      <w:rFonts w:eastAsia="Times New Roman"/>
      <w:szCs w:val="24"/>
      <w:lang w:val="en-GB" w:bidi="en-US"/>
    </w:rPr>
  </w:style>
  <w:style w:type="table" w:styleId="TableGrid">
    <w:name w:val="Table Grid"/>
    <w:basedOn w:val="TableNormal"/>
    <w:uiPriority w:val="59"/>
    <w:rsid w:val="004B7D5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B7D56"/>
    <w:pPr>
      <w:spacing w:after="120"/>
    </w:pPr>
    <w:rPr>
      <w:rFonts w:cs="Arial"/>
      <w:b/>
    </w:rPr>
  </w:style>
  <w:style w:type="paragraph" w:customStyle="1" w:styleId="FSTableHeading">
    <w:name w:val="FS Table Heading"/>
    <w:basedOn w:val="Normal"/>
    <w:qFormat/>
    <w:rsid w:val="004B7D56"/>
    <w:pPr>
      <w:jc w:val="center"/>
    </w:pPr>
    <w:rPr>
      <w:rFonts w:ascii="Arial Bold" w:hAnsi="Arial Bold" w:cs="Arial"/>
      <w:b/>
      <w:sz w:val="20"/>
      <w:szCs w:val="20"/>
    </w:rPr>
  </w:style>
  <w:style w:type="paragraph" w:customStyle="1" w:styleId="FSTableText">
    <w:name w:val="FS Table Text"/>
    <w:basedOn w:val="Normal"/>
    <w:qFormat/>
    <w:rsid w:val="004B7D56"/>
    <w:rPr>
      <w:rFonts w:cs="Arial"/>
      <w:sz w:val="20"/>
      <w:szCs w:val="20"/>
    </w:rPr>
  </w:style>
  <w:style w:type="paragraph" w:customStyle="1" w:styleId="FSFigureTitle">
    <w:name w:val="FS Figure Title"/>
    <w:basedOn w:val="Normal"/>
    <w:next w:val="Normal"/>
    <w:qFormat/>
    <w:rsid w:val="004B7D56"/>
    <w:rPr>
      <w:rFonts w:cs="Arial"/>
      <w:i/>
    </w:rPr>
  </w:style>
  <w:style w:type="character" w:styleId="CommentReference">
    <w:name w:val="annotation reference"/>
    <w:basedOn w:val="DefaultParagraphFont"/>
    <w:rsid w:val="004B7D56"/>
    <w:rPr>
      <w:sz w:val="16"/>
      <w:szCs w:val="16"/>
    </w:rPr>
  </w:style>
  <w:style w:type="paragraph" w:styleId="CommentText">
    <w:name w:val="annotation text"/>
    <w:basedOn w:val="Normal"/>
    <w:link w:val="CommentTextChar"/>
    <w:rsid w:val="004B7D56"/>
    <w:rPr>
      <w:sz w:val="20"/>
      <w:szCs w:val="20"/>
    </w:rPr>
  </w:style>
  <w:style w:type="character" w:customStyle="1" w:styleId="CommentTextChar">
    <w:name w:val="Comment Text Char"/>
    <w:basedOn w:val="DefaultParagraphFont"/>
    <w:link w:val="CommentText"/>
    <w:rsid w:val="004B7D56"/>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4B7D56"/>
    <w:rPr>
      <w:b/>
      <w:bCs/>
    </w:rPr>
  </w:style>
  <w:style w:type="character" w:customStyle="1" w:styleId="CommentSubjectChar">
    <w:name w:val="Comment Subject Char"/>
    <w:basedOn w:val="CommentTextChar"/>
    <w:link w:val="CommentSubject"/>
    <w:rsid w:val="004B7D56"/>
    <w:rPr>
      <w:rFonts w:eastAsia="Times New Roman" w:cs="Times New Roman"/>
      <w:b/>
      <w:bCs/>
      <w:sz w:val="20"/>
      <w:szCs w:val="20"/>
      <w:lang w:val="en-GB" w:bidi="en-US"/>
    </w:rPr>
  </w:style>
  <w:style w:type="table" w:styleId="TableColorful3">
    <w:name w:val="Table Colorful 3"/>
    <w:basedOn w:val="TableNormal"/>
    <w:rsid w:val="004B7D56"/>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4B7D5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B7D5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B7D5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4B7D56"/>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4B7D56"/>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4B7D56"/>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4B7D56"/>
    <w:rPr>
      <w:rFonts w:eastAsia="Times New Roman" w:cs="Times New Roman"/>
      <w:szCs w:val="24"/>
      <w:lang w:val="en-GB" w:bidi="en-US"/>
    </w:rPr>
  </w:style>
  <w:style w:type="table" w:customStyle="1" w:styleId="MediumShading1-Accent31">
    <w:name w:val="Medium Shading 1 - Accent 31"/>
    <w:basedOn w:val="TableNormal"/>
    <w:next w:val="MediumShading1-Accent3"/>
    <w:uiPriority w:val="63"/>
    <w:rsid w:val="004B7D5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EndnoteText">
    <w:name w:val="endnote text"/>
    <w:basedOn w:val="Normal"/>
    <w:link w:val="EndnoteTextChar"/>
    <w:rsid w:val="004B7D56"/>
    <w:rPr>
      <w:sz w:val="20"/>
      <w:szCs w:val="20"/>
      <w:lang w:bidi="ar-SA"/>
    </w:rPr>
  </w:style>
  <w:style w:type="character" w:customStyle="1" w:styleId="EndnoteTextChar">
    <w:name w:val="Endnote Text Char"/>
    <w:basedOn w:val="DefaultParagraphFont"/>
    <w:link w:val="EndnoteText"/>
    <w:rsid w:val="004B7D56"/>
    <w:rPr>
      <w:rFonts w:eastAsia="Times New Roman" w:cs="Times New Roman"/>
      <w:sz w:val="20"/>
      <w:szCs w:val="20"/>
      <w:lang w:val="en-GB"/>
    </w:rPr>
  </w:style>
  <w:style w:type="character" w:styleId="EndnoteReference">
    <w:name w:val="endnote reference"/>
    <w:basedOn w:val="DefaultParagraphFont"/>
    <w:rsid w:val="004B7D56"/>
    <w:rPr>
      <w:vertAlign w:val="superscript"/>
    </w:rPr>
  </w:style>
  <w:style w:type="paragraph" w:customStyle="1" w:styleId="FSBullet10">
    <w:name w:val="FS Bullet 1"/>
    <w:basedOn w:val="Normal"/>
    <w:next w:val="Normal"/>
    <w:link w:val="FSBullet1Char0"/>
    <w:qFormat/>
    <w:rsid w:val="00230316"/>
    <w:pPr>
      <w:numPr>
        <w:numId w:val="21"/>
      </w:numPr>
      <w:ind w:left="567" w:hanging="567"/>
    </w:pPr>
    <w:rPr>
      <w:rFonts w:cs="Arial"/>
    </w:rPr>
  </w:style>
  <w:style w:type="character" w:customStyle="1" w:styleId="FSBullet1Char0">
    <w:name w:val="FS Bullet 1 Char"/>
    <w:link w:val="FSBullet10"/>
    <w:rsid w:val="00230316"/>
    <w:rPr>
      <w:rFonts w:eastAsia="Times New Roman"/>
      <w:szCs w:val="24"/>
      <w:lang w:val="en-GB" w:bidi="en-US"/>
    </w:rPr>
  </w:style>
  <w:style w:type="character" w:customStyle="1" w:styleId="SubclauseChar">
    <w:name w:val="Subclause Char"/>
    <w:basedOn w:val="DefaultParagraphFont"/>
    <w:link w:val="Subclause"/>
    <w:rsid w:val="004B7D56"/>
    <w:rPr>
      <w:rFonts w:eastAsia="Times New Roman" w:cs="Times New Roman"/>
      <w:sz w:val="20"/>
      <w:szCs w:val="20"/>
      <w:lang w:val="en-GB" w:bidi="en-US"/>
    </w:rPr>
  </w:style>
  <w:style w:type="character" w:customStyle="1" w:styleId="ParagraphChar">
    <w:name w:val="Paragraph Char"/>
    <w:basedOn w:val="DefaultParagraphFont"/>
    <w:link w:val="Paragraph"/>
    <w:rsid w:val="004B7D56"/>
    <w:rPr>
      <w:rFonts w:eastAsia="Times New Roman" w:cs="Times New Roman"/>
      <w:sz w:val="20"/>
      <w:szCs w:val="20"/>
      <w:lang w:val="en-GB" w:bidi="en-US"/>
    </w:rPr>
  </w:style>
  <w:style w:type="paragraph" w:customStyle="1" w:styleId="heading">
    <w:name w:val="heading"/>
    <w:basedOn w:val="Normal"/>
    <w:rsid w:val="004B7D56"/>
    <w:pPr>
      <w:tabs>
        <w:tab w:val="left" w:pos="840"/>
      </w:tabs>
      <w:jc w:val="both"/>
    </w:pPr>
    <w:rPr>
      <w:rFonts w:ascii="Times New Roman" w:hAnsi="Times New Roman"/>
      <w:b/>
      <w:caps/>
      <w:sz w:val="24"/>
      <w:szCs w:val="20"/>
      <w:lang w:bidi="ar-SA"/>
    </w:rPr>
  </w:style>
  <w:style w:type="paragraph" w:customStyle="1" w:styleId="1aindent">
    <w:name w:val="*(1)(a) indent"/>
    <w:basedOn w:val="Normal"/>
    <w:rsid w:val="004B7D56"/>
    <w:pPr>
      <w:ind w:right="6"/>
    </w:pPr>
    <w:rPr>
      <w:rFonts w:ascii="Times New Roman" w:hAnsi="Times New Roman"/>
      <w:sz w:val="24"/>
      <w:lang w:bidi="ar-SA"/>
    </w:rPr>
  </w:style>
  <w:style w:type="paragraph" w:customStyle="1" w:styleId="Clauseheading0">
    <w:name w:val="*Clause heading"/>
    <w:basedOn w:val="Normal"/>
    <w:rsid w:val="004B7D56"/>
    <w:pPr>
      <w:tabs>
        <w:tab w:val="left" w:pos="851"/>
      </w:tabs>
    </w:pPr>
    <w:rPr>
      <w:rFonts w:ascii="Times New Roman" w:hAnsi="Times New Roman"/>
      <w:b/>
      <w:bCs/>
      <w:sz w:val="24"/>
      <w:lang w:bidi="ar-SA"/>
    </w:rPr>
  </w:style>
  <w:style w:type="paragraph" w:customStyle="1" w:styleId="1ai">
    <w:name w:val="*(1)(a)(i)"/>
    <w:basedOn w:val="Normal"/>
    <w:next w:val="Normal"/>
    <w:rsid w:val="004B7D56"/>
    <w:pPr>
      <w:tabs>
        <w:tab w:val="left" w:pos="851"/>
      </w:tabs>
      <w:spacing w:line="240" w:lineRule="atLeast"/>
      <w:ind w:left="2552" w:hanging="840"/>
    </w:pPr>
    <w:rPr>
      <w:rFonts w:ascii="Times New Roman" w:hAnsi="Times New Roman"/>
      <w:sz w:val="24"/>
      <w:szCs w:val="20"/>
      <w:lang w:bidi="ar-SA"/>
    </w:rPr>
  </w:style>
  <w:style w:type="paragraph" w:customStyle="1" w:styleId="Bullet">
    <w:name w:val="Bullet"/>
    <w:basedOn w:val="Normal"/>
    <w:rsid w:val="004B7D56"/>
    <w:pPr>
      <w:numPr>
        <w:numId w:val="31"/>
      </w:numPr>
    </w:pPr>
    <w:rPr>
      <w:rFonts w:ascii="Times New Roman" w:hAnsi="Times New Roman"/>
      <w:sz w:val="24"/>
      <w:lang w:bidi="ar-SA"/>
    </w:rPr>
  </w:style>
  <w:style w:type="paragraph" w:styleId="Title">
    <w:name w:val="Title"/>
    <w:basedOn w:val="Normal"/>
    <w:link w:val="TitleChar"/>
    <w:rsid w:val="004B7D56"/>
    <w:pPr>
      <w:tabs>
        <w:tab w:val="left" w:pos="6521"/>
        <w:tab w:val="left" w:pos="8363"/>
      </w:tabs>
      <w:jc w:val="center"/>
    </w:pPr>
    <w:rPr>
      <w:rFonts w:ascii="Times New Roman" w:hAnsi="Times New Roman"/>
      <w:b/>
      <w:sz w:val="24"/>
      <w:szCs w:val="20"/>
      <w:lang w:val="en-AU" w:eastAsia="en-NZ" w:bidi="ar-SA"/>
    </w:rPr>
  </w:style>
  <w:style w:type="character" w:customStyle="1" w:styleId="TitleChar">
    <w:name w:val="Title Char"/>
    <w:basedOn w:val="DefaultParagraphFont"/>
    <w:link w:val="Title"/>
    <w:rsid w:val="004B7D56"/>
    <w:rPr>
      <w:rFonts w:ascii="Times New Roman" w:eastAsia="Times New Roman" w:hAnsi="Times New Roman" w:cs="Times New Roman"/>
      <w:b/>
      <w:sz w:val="24"/>
      <w:szCs w:val="20"/>
      <w:lang w:eastAsia="en-NZ"/>
    </w:rPr>
  </w:style>
  <w:style w:type="paragraph" w:customStyle="1" w:styleId="FSRecommendation">
    <w:name w:val="FS Recommendation"/>
    <w:basedOn w:val="Normal"/>
    <w:qFormat/>
    <w:rsid w:val="006F0430"/>
    <w:pPr>
      <w:ind w:left="567" w:hanging="567"/>
    </w:pPr>
    <w:rPr>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5" w:qFormat="1"/>
    <w:lsdException w:name="annotation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Table Classic 1" w:uiPriority="0"/>
    <w:lsdException w:name="Table Classic 2" w:uiPriority="0"/>
    <w:lsdException w:name="Table Colorful 3"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C3C0D"/>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4B7D56"/>
    <w:pPr>
      <w:keepNext/>
      <w:spacing w:before="240" w:after="240"/>
      <w:ind w:left="851" w:hanging="851"/>
      <w:outlineLvl w:val="0"/>
    </w:pPr>
    <w:rPr>
      <w:b/>
      <w:bCs/>
      <w:sz w:val="36"/>
      <w:szCs w:val="28"/>
      <w:lang w:bidi="ar-SA"/>
    </w:rPr>
  </w:style>
  <w:style w:type="paragraph" w:styleId="Heading2">
    <w:name w:val="heading 2"/>
    <w:aliases w:val="FSHeading 2,Section heading"/>
    <w:basedOn w:val="ListParagraph"/>
    <w:next w:val="Normal"/>
    <w:link w:val="Heading2Char"/>
    <w:uiPriority w:val="9"/>
    <w:unhideWhenUsed/>
    <w:qFormat/>
    <w:rsid w:val="00CA6A02"/>
    <w:pPr>
      <w:spacing w:before="240" w:after="240"/>
      <w:ind w:left="851" w:hanging="851"/>
      <w:jc w:val="both"/>
      <w:outlineLvl w:val="1"/>
    </w:pPr>
    <w:rPr>
      <w:rFonts w:ascii="Arial" w:hAnsi="Arial" w:cs="Arial"/>
      <w:b/>
      <w:sz w:val="28"/>
      <w:szCs w:val="28"/>
    </w:rPr>
  </w:style>
  <w:style w:type="paragraph" w:styleId="Heading3">
    <w:name w:val="heading 3"/>
    <w:aliases w:val="FSHeading 3,Subheading 1"/>
    <w:basedOn w:val="Normal"/>
    <w:next w:val="Normal"/>
    <w:link w:val="Heading3Char"/>
    <w:uiPriority w:val="9"/>
    <w:unhideWhenUsed/>
    <w:qFormat/>
    <w:rsid w:val="004B7D56"/>
    <w:pPr>
      <w:keepNext/>
      <w:spacing w:before="240" w:after="240"/>
      <w:ind w:left="851" w:hanging="851"/>
      <w:outlineLvl w:val="2"/>
    </w:pPr>
    <w:rPr>
      <w:b/>
      <w:bCs/>
      <w:lang w:eastAsia="en-AU" w:bidi="ar-SA"/>
    </w:rPr>
  </w:style>
  <w:style w:type="paragraph" w:styleId="Heading4">
    <w:name w:val="heading 4"/>
    <w:aliases w:val="FSHeading 4,Subheading 2"/>
    <w:basedOn w:val="Heading2"/>
    <w:next w:val="Normal"/>
    <w:link w:val="Heading4Char"/>
    <w:uiPriority w:val="9"/>
    <w:unhideWhenUsed/>
    <w:qFormat/>
    <w:rsid w:val="004B7D56"/>
    <w:pPr>
      <w:outlineLvl w:val="3"/>
    </w:pPr>
    <w:rPr>
      <w:rFonts w:cs="Times New Roman"/>
      <w:i/>
      <w:sz w:val="22"/>
    </w:rPr>
  </w:style>
  <w:style w:type="paragraph" w:styleId="Heading5">
    <w:name w:val="heading 5"/>
    <w:aliases w:val="FSHeading 5,Subheading 3"/>
    <w:basedOn w:val="Normal"/>
    <w:next w:val="Normal"/>
    <w:link w:val="Heading5Char"/>
    <w:uiPriority w:val="9"/>
    <w:unhideWhenUsed/>
    <w:qFormat/>
    <w:rsid w:val="004B7D56"/>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4B7D56"/>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4B7D56"/>
    <w:pPr>
      <w:spacing w:before="240" w:after="60"/>
      <w:outlineLvl w:val="6"/>
    </w:pPr>
  </w:style>
  <w:style w:type="paragraph" w:styleId="Heading8">
    <w:name w:val="heading 8"/>
    <w:basedOn w:val="Normal"/>
    <w:next w:val="Normal"/>
    <w:link w:val="Heading8Char"/>
    <w:uiPriority w:val="9"/>
    <w:unhideWhenUsed/>
    <w:rsid w:val="004B7D56"/>
    <w:pPr>
      <w:spacing w:before="240" w:after="60"/>
      <w:outlineLvl w:val="7"/>
    </w:pPr>
    <w:rPr>
      <w:i/>
      <w:iCs/>
    </w:rPr>
  </w:style>
  <w:style w:type="paragraph" w:styleId="Heading9">
    <w:name w:val="heading 9"/>
    <w:basedOn w:val="Normal"/>
    <w:next w:val="Normal"/>
    <w:link w:val="Heading9Char"/>
    <w:uiPriority w:val="9"/>
    <w:unhideWhenUsed/>
    <w:rsid w:val="004B7D5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4B7D56"/>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CA6A02"/>
    <w:rPr>
      <w:b/>
      <w:sz w:val="28"/>
      <w:szCs w:val="28"/>
      <w:lang w:val="en-NZ" w:eastAsia="en-NZ"/>
    </w:rPr>
  </w:style>
  <w:style w:type="character" w:customStyle="1" w:styleId="Heading3Char">
    <w:name w:val="Heading 3 Char"/>
    <w:aliases w:val="FSHeading 3 Char,Subheading 1 Char"/>
    <w:link w:val="Heading3"/>
    <w:uiPriority w:val="9"/>
    <w:rsid w:val="004B7D56"/>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4B7D56"/>
    <w:rPr>
      <w:rFonts w:cs="Times New Roman"/>
      <w:b/>
      <w:i/>
      <w:szCs w:val="28"/>
      <w:lang w:val="en-NZ" w:eastAsia="en-NZ"/>
    </w:rPr>
  </w:style>
  <w:style w:type="character" w:customStyle="1" w:styleId="Heading5Char">
    <w:name w:val="Heading 5 Char"/>
    <w:aliases w:val="FSHeading 5 Char,Subheading 3 Char"/>
    <w:link w:val="Heading5"/>
    <w:uiPriority w:val="9"/>
    <w:rsid w:val="004B7D56"/>
    <w:rPr>
      <w:rFonts w:eastAsia="Times New Roman" w:cs="Times New Roman"/>
      <w:i/>
      <w:lang w:val="en-GB"/>
    </w:rPr>
  </w:style>
  <w:style w:type="character" w:customStyle="1" w:styleId="Heading6Char">
    <w:name w:val="Heading 6 Char"/>
    <w:basedOn w:val="DefaultParagraphFont"/>
    <w:link w:val="Heading6"/>
    <w:uiPriority w:val="9"/>
    <w:rsid w:val="004B7D56"/>
    <w:rPr>
      <w:rFonts w:eastAsia="Times New Roman" w:cs="Arial Unicode MS"/>
      <w:b/>
      <w:bCs/>
      <w:lang w:val="en-GB" w:bidi="en-US"/>
    </w:rPr>
  </w:style>
  <w:style w:type="paragraph" w:customStyle="1" w:styleId="Table2">
    <w:name w:val="Table 2"/>
    <w:basedOn w:val="Normal"/>
    <w:rsid w:val="004B7D56"/>
    <w:pPr>
      <w:ind w:left="142" w:hanging="142"/>
    </w:pPr>
    <w:rPr>
      <w:bCs/>
      <w:sz w:val="18"/>
      <w:szCs w:val="20"/>
    </w:rPr>
  </w:style>
  <w:style w:type="paragraph" w:customStyle="1" w:styleId="131ItemHeading">
    <w:name w:val="1.3.1 Item Heading"/>
    <w:basedOn w:val="Table2"/>
    <w:next w:val="Table2"/>
    <w:uiPriority w:val="22"/>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404702"/>
    <w:pPr>
      <w:spacing w:after="120"/>
    </w:pPr>
    <w:rPr>
      <w:caps w:val="0"/>
      <w:sz w:val="18"/>
    </w:rPr>
  </w:style>
  <w:style w:type="paragraph" w:customStyle="1" w:styleId="142Tableheading1">
    <w:name w:val="1.4.2 Table heading1"/>
    <w:basedOn w:val="Normal"/>
    <w:uiPriority w:val="22"/>
    <w:rsid w:val="00404702"/>
    <w:pPr>
      <w:keepNext/>
      <w:jc w:val="center"/>
    </w:pPr>
    <w:rPr>
      <w:rFonts w:ascii="Arial Bold" w:hAnsi="Arial Bold"/>
      <w:b/>
      <w:bCs/>
      <w:iCs/>
      <w:sz w:val="18"/>
    </w:rPr>
  </w:style>
  <w:style w:type="paragraph" w:customStyle="1" w:styleId="142Tableheading2">
    <w:name w:val="1.4.2 Table heading2"/>
    <w:basedOn w:val="Normal"/>
    <w:rsid w:val="004B7D56"/>
    <w:pPr>
      <w:keepNext/>
      <w:jc w:val="center"/>
    </w:pPr>
    <w:rPr>
      <w:iCs/>
      <w:smallCaps/>
      <w:sz w:val="18"/>
      <w:szCs w:val="20"/>
    </w:rPr>
  </w:style>
  <w:style w:type="paragraph" w:customStyle="1" w:styleId="142Tabletext1">
    <w:name w:val="1.4.2 Table text1"/>
    <w:basedOn w:val="Normal"/>
    <w:link w:val="142Tabletext1Char"/>
    <w:uiPriority w:val="22"/>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rsid w:val="00404702"/>
    <w:pPr>
      <w:jc w:val="right"/>
    </w:pPr>
  </w:style>
  <w:style w:type="paragraph" w:customStyle="1" w:styleId="Blankpage">
    <w:name w:val="Blank page"/>
    <w:basedOn w:val="Normal"/>
    <w:next w:val="Normal"/>
    <w:uiPriority w:val="23"/>
    <w:rsid w:val="00404702"/>
    <w:pPr>
      <w:tabs>
        <w:tab w:val="left" w:pos="851"/>
      </w:tabs>
      <w:spacing w:before="6000"/>
      <w:jc w:val="center"/>
    </w:pPr>
    <w:rPr>
      <w:caps/>
      <w:szCs w:val="20"/>
    </w:rPr>
  </w:style>
  <w:style w:type="paragraph" w:customStyle="1" w:styleId="Clause">
    <w:name w:val="Clause"/>
    <w:basedOn w:val="Normal"/>
    <w:next w:val="Normal"/>
    <w:link w:val="ClauseChar"/>
    <w:rsid w:val="004B7D5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bidi="en-US"/>
    </w:rPr>
  </w:style>
  <w:style w:type="paragraph" w:customStyle="1" w:styleId="Clauseheading">
    <w:name w:val="Clause heading"/>
    <w:basedOn w:val="Normal"/>
    <w:next w:val="Normal"/>
    <w:rsid w:val="004B7D56"/>
    <w:pPr>
      <w:tabs>
        <w:tab w:val="left" w:pos="851"/>
      </w:tabs>
    </w:pPr>
    <w:rPr>
      <w:b/>
      <w:szCs w:val="20"/>
    </w:rPr>
  </w:style>
  <w:style w:type="paragraph" w:customStyle="1" w:styleId="ClauseList">
    <w:name w:val="Clause List"/>
    <w:basedOn w:val="Clause"/>
    <w:next w:val="Normal"/>
    <w:rsid w:val="004B7D56"/>
  </w:style>
  <w:style w:type="paragraph" w:customStyle="1" w:styleId="Definition">
    <w:name w:val="Definition"/>
    <w:basedOn w:val="Normal"/>
    <w:next w:val="Normal"/>
    <w:rsid w:val="004B7D56"/>
    <w:pPr>
      <w:ind w:left="1701" w:hanging="851"/>
    </w:pPr>
    <w:rPr>
      <w:sz w:val="20"/>
      <w:szCs w:val="20"/>
    </w:rPr>
  </w:style>
  <w:style w:type="paragraph" w:customStyle="1" w:styleId="DivisionHeading">
    <w:name w:val="Division Heading"/>
    <w:basedOn w:val="Normal"/>
    <w:next w:val="Normal"/>
    <w:rsid w:val="004B7D56"/>
    <w:pPr>
      <w:tabs>
        <w:tab w:val="left" w:pos="851"/>
      </w:tabs>
      <w:jc w:val="center"/>
    </w:pPr>
    <w:rPr>
      <w:b/>
      <w:sz w:val="28"/>
      <w:szCs w:val="20"/>
    </w:rPr>
  </w:style>
  <w:style w:type="paragraph" w:customStyle="1" w:styleId="EditorialNoteLine1">
    <w:name w:val="Editorial Note Line 1"/>
    <w:basedOn w:val="Normal"/>
    <w:next w:val="Normal"/>
    <w:rsid w:val="004B7D56"/>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4B7D56"/>
    <w:rPr>
      <w:b w:val="0"/>
    </w:rPr>
  </w:style>
  <w:style w:type="paragraph" w:styleId="Footer">
    <w:name w:val="footer"/>
    <w:aliases w:val="FSFooter"/>
    <w:basedOn w:val="Normal"/>
    <w:link w:val="FooterChar"/>
    <w:rsid w:val="004B7D56"/>
    <w:pPr>
      <w:tabs>
        <w:tab w:val="center" w:pos="4153"/>
        <w:tab w:val="right" w:pos="8306"/>
      </w:tabs>
    </w:pPr>
    <w:rPr>
      <w:sz w:val="20"/>
    </w:rPr>
  </w:style>
  <w:style w:type="character" w:customStyle="1" w:styleId="FooterChar">
    <w:name w:val="Footer Char"/>
    <w:aliases w:val="FSFooter Char"/>
    <w:basedOn w:val="DefaultParagraphFont"/>
    <w:link w:val="Footer"/>
    <w:rsid w:val="004B7D56"/>
    <w:rPr>
      <w:rFonts w:eastAsia="Times New Roman" w:cs="Times New Roman"/>
      <w:sz w:val="20"/>
      <w:szCs w:val="24"/>
      <w:lang w:val="en-GB" w:bidi="en-US"/>
    </w:rPr>
  </w:style>
  <w:style w:type="paragraph" w:styleId="FootnoteText">
    <w:name w:val="footnote text"/>
    <w:aliases w:val="Footnotes Text,FSFootnotes Text"/>
    <w:basedOn w:val="Normal"/>
    <w:link w:val="FootnoteTextChar"/>
    <w:uiPriority w:val="5"/>
    <w:qFormat/>
    <w:rsid w:val="004B7D56"/>
    <w:rPr>
      <w:sz w:val="20"/>
      <w:szCs w:val="20"/>
    </w:rPr>
  </w:style>
  <w:style w:type="character" w:customStyle="1" w:styleId="FootnoteTextChar">
    <w:name w:val="Footnote Text Char"/>
    <w:aliases w:val="Footnotes Text Char,FSFootnotes Text Char"/>
    <w:basedOn w:val="DefaultParagraphFont"/>
    <w:link w:val="FootnoteText"/>
    <w:uiPriority w:val="5"/>
    <w:rsid w:val="004B7D56"/>
    <w:rPr>
      <w:rFonts w:eastAsia="Times New Roman" w:cs="Times New Roman"/>
      <w:sz w:val="20"/>
      <w:szCs w:val="20"/>
      <w:lang w:val="en-GB" w:bidi="en-US"/>
    </w:rPr>
  </w:style>
  <w:style w:type="paragraph" w:customStyle="1" w:styleId="FSBullet1">
    <w:name w:val="FSBullet 1"/>
    <w:basedOn w:val="Normal"/>
    <w:next w:val="Normal"/>
    <w:link w:val="FSBullet1Char"/>
    <w:qFormat/>
    <w:rsid w:val="00EC3C0D"/>
    <w:pPr>
      <w:numPr>
        <w:numId w:val="17"/>
      </w:numPr>
    </w:pPr>
    <w:rPr>
      <w:rFonts w:cs="Arial"/>
      <w:lang w:bidi="ar-SA"/>
    </w:rPr>
  </w:style>
  <w:style w:type="character" w:customStyle="1" w:styleId="FSBullet1Char">
    <w:name w:val="FSBullet 1 Char"/>
    <w:link w:val="FSBullet1"/>
    <w:rsid w:val="00EC3C0D"/>
    <w:rPr>
      <w:rFonts w:eastAsia="Times New Roman"/>
      <w:szCs w:val="24"/>
      <w:lang w:val="en-GB"/>
    </w:rPr>
  </w:style>
  <w:style w:type="paragraph" w:customStyle="1" w:styleId="FSBullet2">
    <w:name w:val="FSBullet 2"/>
    <w:basedOn w:val="Normal"/>
    <w:qFormat/>
    <w:rsid w:val="004B7D56"/>
    <w:pPr>
      <w:numPr>
        <w:numId w:val="18"/>
      </w:numPr>
    </w:pPr>
    <w:rPr>
      <w:rFonts w:eastAsia="Calibri"/>
      <w:szCs w:val="22"/>
      <w:lang w:bidi="ar-SA"/>
    </w:rPr>
  </w:style>
  <w:style w:type="paragraph" w:customStyle="1" w:styleId="FSBullet3">
    <w:name w:val="FSBullet 3"/>
    <w:basedOn w:val="Normal"/>
    <w:qFormat/>
    <w:rsid w:val="004B7D56"/>
    <w:pPr>
      <w:keepNext/>
      <w:numPr>
        <w:numId w:val="19"/>
      </w:numPr>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4B7D56"/>
  </w:style>
  <w:style w:type="character" w:customStyle="1" w:styleId="HeaderChar">
    <w:name w:val="Header Char"/>
    <w:aliases w:val="FSHeader Char"/>
    <w:basedOn w:val="DefaultParagraphFont"/>
    <w:link w:val="Header"/>
    <w:rsid w:val="004B7D56"/>
    <w:rPr>
      <w:rFonts w:eastAsia="Times New Roman" w:cs="Times New Roman"/>
      <w:szCs w:val="24"/>
      <w:lang w:val="en-GB" w:bidi="en-US"/>
    </w:rPr>
  </w:style>
  <w:style w:type="paragraph" w:customStyle="1" w:styleId="Paragraph">
    <w:name w:val="Paragraph"/>
    <w:basedOn w:val="Clause"/>
    <w:next w:val="Normal"/>
    <w:link w:val="ParagraphChar"/>
    <w:rsid w:val="004B7D56"/>
    <w:pPr>
      <w:tabs>
        <w:tab w:val="clear" w:pos="851"/>
      </w:tabs>
      <w:ind w:left="1702" w:hanging="851"/>
    </w:pPr>
  </w:style>
  <w:style w:type="paragraph" w:customStyle="1" w:styleId="ScheduleHeading">
    <w:name w:val="Schedule Heading"/>
    <w:basedOn w:val="Normal"/>
    <w:next w:val="Normal"/>
    <w:rsid w:val="004B7D56"/>
    <w:pPr>
      <w:tabs>
        <w:tab w:val="left" w:pos="851"/>
      </w:tabs>
      <w:jc w:val="center"/>
    </w:pPr>
    <w:rPr>
      <w:b/>
      <w:caps/>
      <w:sz w:val="20"/>
      <w:szCs w:val="20"/>
    </w:rPr>
  </w:style>
  <w:style w:type="paragraph" w:customStyle="1" w:styleId="Standardtitle">
    <w:name w:val="Standard title"/>
    <w:basedOn w:val="Normal"/>
    <w:rsid w:val="004B7D56"/>
    <w:pPr>
      <w:tabs>
        <w:tab w:val="left" w:pos="851"/>
      </w:tabs>
      <w:jc w:val="center"/>
    </w:pPr>
    <w:rPr>
      <w:b/>
      <w:i/>
      <w:iCs/>
      <w:caps/>
      <w:sz w:val="28"/>
      <w:szCs w:val="20"/>
    </w:rPr>
  </w:style>
  <w:style w:type="paragraph" w:customStyle="1" w:styleId="Subclause">
    <w:name w:val="Subclause"/>
    <w:basedOn w:val="Clause"/>
    <w:link w:val="SubclauseChar"/>
    <w:rsid w:val="004B7D56"/>
    <w:pPr>
      <w:ind w:hanging="11"/>
    </w:pPr>
  </w:style>
  <w:style w:type="paragraph" w:customStyle="1" w:styleId="Subparagraph">
    <w:name w:val="Subparagraph"/>
    <w:basedOn w:val="Paragraph"/>
    <w:next w:val="Normal"/>
    <w:rsid w:val="004B7D56"/>
    <w:pPr>
      <w:ind w:left="2553"/>
    </w:pPr>
  </w:style>
  <w:style w:type="paragraph" w:customStyle="1" w:styleId="Table1">
    <w:name w:val="Table 1"/>
    <w:basedOn w:val="Normal"/>
    <w:rsid w:val="004B7D56"/>
    <w:pPr>
      <w:spacing w:after="120"/>
      <w:jc w:val="center"/>
    </w:pPr>
    <w:rPr>
      <w:b/>
      <w:bCs/>
      <w:sz w:val="18"/>
      <w:szCs w:val="20"/>
    </w:rPr>
  </w:style>
  <w:style w:type="paragraph" w:customStyle="1" w:styleId="TitleBorder">
    <w:name w:val="TitleBorder"/>
    <w:basedOn w:val="Normal"/>
    <w:rsid w:val="004B7D56"/>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4B7D56"/>
    <w:pPr>
      <w:ind w:left="720"/>
    </w:pPr>
    <w:rPr>
      <w:rFonts w:ascii="Calibri" w:eastAsiaTheme="minorHAnsi" w:hAnsi="Calibri" w:cs="Calibri"/>
      <w:szCs w:val="22"/>
      <w:lang w:val="en-NZ" w:eastAsia="en-NZ" w:bidi="ar-SA"/>
    </w:rPr>
  </w:style>
  <w:style w:type="character" w:customStyle="1" w:styleId="Heading7Char">
    <w:name w:val="Heading 7 Char"/>
    <w:basedOn w:val="DefaultParagraphFont"/>
    <w:link w:val="Heading7"/>
    <w:uiPriority w:val="9"/>
    <w:rsid w:val="004B7D56"/>
    <w:rPr>
      <w:rFonts w:eastAsia="Times New Roman" w:cs="Times New Roman"/>
      <w:szCs w:val="24"/>
      <w:lang w:val="en-GB" w:bidi="en-US"/>
    </w:rPr>
  </w:style>
  <w:style w:type="character" w:customStyle="1" w:styleId="Heading8Char">
    <w:name w:val="Heading 8 Char"/>
    <w:basedOn w:val="DefaultParagraphFont"/>
    <w:link w:val="Heading8"/>
    <w:uiPriority w:val="9"/>
    <w:rsid w:val="004B7D56"/>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4B7D56"/>
    <w:rPr>
      <w:rFonts w:ascii="Cambria" w:eastAsia="Times New Roman" w:hAnsi="Cambria" w:cs="Times New Roman"/>
      <w:lang w:val="en-GB" w:bidi="en-US"/>
    </w:rPr>
  </w:style>
  <w:style w:type="character" w:styleId="Hyperlink">
    <w:name w:val="Hyperlink"/>
    <w:basedOn w:val="DefaultParagraphFont"/>
    <w:uiPriority w:val="99"/>
    <w:rsid w:val="003C20BC"/>
    <w:rPr>
      <w:color w:val="0000FF"/>
      <w:u w:val="single"/>
    </w:rPr>
  </w:style>
  <w:style w:type="paragraph" w:customStyle="1" w:styleId="FSTitle">
    <w:name w:val="FS Title"/>
    <w:basedOn w:val="Normal"/>
    <w:qFormat/>
    <w:rsid w:val="004B7D56"/>
    <w:rPr>
      <w:rFonts w:cs="Tahoma"/>
      <w:bCs/>
      <w:sz w:val="32"/>
    </w:rPr>
  </w:style>
  <w:style w:type="paragraph" w:customStyle="1" w:styleId="FSDash">
    <w:name w:val="FS Dash"/>
    <w:basedOn w:val="Normal"/>
    <w:qFormat/>
    <w:rsid w:val="004B7D56"/>
    <w:pPr>
      <w:numPr>
        <w:numId w:val="15"/>
      </w:numPr>
      <w:ind w:left="1134" w:hanging="567"/>
    </w:pPr>
  </w:style>
  <w:style w:type="paragraph" w:styleId="TOC1">
    <w:name w:val="toc 1"/>
    <w:basedOn w:val="Normal"/>
    <w:next w:val="Normal"/>
    <w:autoRedefine/>
    <w:uiPriority w:val="39"/>
    <w:rsid w:val="004B7D56"/>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4B7D56"/>
    <w:pPr>
      <w:ind w:left="220"/>
    </w:pPr>
    <w:rPr>
      <w:rFonts w:asciiTheme="minorHAnsi" w:hAnsiTheme="minorHAnsi" w:cstheme="minorHAnsi"/>
      <w:smallCaps/>
      <w:sz w:val="20"/>
      <w:szCs w:val="20"/>
    </w:rPr>
  </w:style>
  <w:style w:type="character" w:styleId="PageNumber">
    <w:name w:val="page number"/>
    <w:basedOn w:val="DefaultParagraphFont"/>
    <w:rsid w:val="004B7D56"/>
    <w:rPr>
      <w:rFonts w:ascii="Arial" w:hAnsi="Arial"/>
      <w:sz w:val="20"/>
    </w:rPr>
  </w:style>
  <w:style w:type="paragraph" w:styleId="TOC3">
    <w:name w:val="toc 3"/>
    <w:basedOn w:val="Normal"/>
    <w:next w:val="Normal"/>
    <w:autoRedefine/>
    <w:uiPriority w:val="39"/>
    <w:rsid w:val="004B7D56"/>
    <w:pPr>
      <w:ind w:left="440"/>
    </w:pPr>
    <w:rPr>
      <w:rFonts w:asciiTheme="minorHAnsi" w:hAnsiTheme="minorHAnsi" w:cstheme="minorHAnsi"/>
      <w:i/>
      <w:iCs/>
      <w:sz w:val="20"/>
      <w:szCs w:val="20"/>
    </w:rPr>
  </w:style>
  <w:style w:type="paragraph" w:styleId="TOC4">
    <w:name w:val="toc 4"/>
    <w:basedOn w:val="Normal"/>
    <w:next w:val="Normal"/>
    <w:autoRedefine/>
    <w:semiHidden/>
    <w:rsid w:val="004B7D56"/>
    <w:pPr>
      <w:ind w:left="660"/>
    </w:pPr>
    <w:rPr>
      <w:rFonts w:asciiTheme="minorHAnsi" w:hAnsiTheme="minorHAnsi" w:cstheme="minorHAnsi"/>
      <w:sz w:val="18"/>
      <w:szCs w:val="18"/>
    </w:rPr>
  </w:style>
  <w:style w:type="paragraph" w:styleId="TOC5">
    <w:name w:val="toc 5"/>
    <w:basedOn w:val="Normal"/>
    <w:next w:val="Normal"/>
    <w:autoRedefine/>
    <w:semiHidden/>
    <w:rsid w:val="004B7D56"/>
    <w:pPr>
      <w:ind w:left="880"/>
    </w:pPr>
    <w:rPr>
      <w:rFonts w:asciiTheme="minorHAnsi" w:hAnsiTheme="minorHAnsi" w:cstheme="minorHAnsi"/>
      <w:sz w:val="18"/>
      <w:szCs w:val="18"/>
    </w:rPr>
  </w:style>
  <w:style w:type="character" w:styleId="FollowedHyperlink">
    <w:name w:val="FollowedHyperlink"/>
    <w:basedOn w:val="DefaultParagraphFont"/>
    <w:rsid w:val="004B7D56"/>
    <w:rPr>
      <w:color w:val="800080"/>
      <w:u w:val="single"/>
    </w:rPr>
  </w:style>
  <w:style w:type="paragraph" w:styleId="TOC6">
    <w:name w:val="toc 6"/>
    <w:basedOn w:val="Normal"/>
    <w:next w:val="Normal"/>
    <w:autoRedefine/>
    <w:semiHidden/>
    <w:rsid w:val="004B7D56"/>
    <w:pPr>
      <w:ind w:left="1100"/>
    </w:pPr>
    <w:rPr>
      <w:rFonts w:asciiTheme="minorHAnsi" w:hAnsiTheme="minorHAnsi" w:cstheme="minorHAnsi"/>
      <w:sz w:val="18"/>
      <w:szCs w:val="18"/>
    </w:rPr>
  </w:style>
  <w:style w:type="paragraph" w:customStyle="1" w:styleId="142tableheading10">
    <w:name w:val="1.4.2 table heading1"/>
    <w:basedOn w:val="142Tableheading2"/>
    <w:rsid w:val="004B7D56"/>
    <w:rPr>
      <w:b/>
      <w:bCs/>
      <w:iCs w:val="0"/>
    </w:rPr>
  </w:style>
  <w:style w:type="paragraph" w:customStyle="1" w:styleId="142tabletext10">
    <w:name w:val="1.4.2 table text1"/>
    <w:basedOn w:val="Normal"/>
    <w:rsid w:val="004B7D56"/>
    <w:pPr>
      <w:ind w:left="142" w:hanging="142"/>
    </w:pPr>
    <w:rPr>
      <w:smallCaps/>
      <w:sz w:val="18"/>
      <w:szCs w:val="20"/>
    </w:rPr>
  </w:style>
  <w:style w:type="paragraph" w:customStyle="1" w:styleId="142tabletext20">
    <w:name w:val="1.4.2 table text2"/>
    <w:basedOn w:val="142tabletext10"/>
    <w:rsid w:val="004B7D56"/>
  </w:style>
  <w:style w:type="paragraph" w:customStyle="1" w:styleId="Footnote">
    <w:name w:val="Footnote"/>
    <w:basedOn w:val="Normal"/>
    <w:rsid w:val="004B7D56"/>
    <w:pPr>
      <w:tabs>
        <w:tab w:val="left" w:pos="851"/>
      </w:tabs>
    </w:pPr>
    <w:rPr>
      <w:sz w:val="18"/>
      <w:szCs w:val="20"/>
    </w:rPr>
  </w:style>
  <w:style w:type="paragraph" w:customStyle="1" w:styleId="MiscellaneousHeading">
    <w:name w:val="Miscellaneous Heading"/>
    <w:basedOn w:val="Normal"/>
    <w:next w:val="Normal"/>
    <w:rsid w:val="004B7D56"/>
    <w:rPr>
      <w:b/>
      <w:sz w:val="20"/>
      <w:szCs w:val="20"/>
    </w:rPr>
  </w:style>
  <w:style w:type="paragraph" w:customStyle="1" w:styleId="TableHeading">
    <w:name w:val="Table Heading"/>
    <w:basedOn w:val="Normal"/>
    <w:next w:val="Normal"/>
    <w:rsid w:val="004B7D56"/>
    <w:pPr>
      <w:tabs>
        <w:tab w:val="left" w:pos="851"/>
      </w:tabs>
      <w:jc w:val="center"/>
    </w:pPr>
    <w:rPr>
      <w:b/>
      <w:sz w:val="20"/>
      <w:szCs w:val="20"/>
    </w:rPr>
  </w:style>
  <w:style w:type="paragraph" w:styleId="TOC7">
    <w:name w:val="toc 7"/>
    <w:basedOn w:val="Normal"/>
    <w:next w:val="Normal"/>
    <w:autoRedefine/>
    <w:semiHidden/>
    <w:rsid w:val="004B7D56"/>
    <w:pPr>
      <w:ind w:left="1320"/>
    </w:pPr>
    <w:rPr>
      <w:rFonts w:asciiTheme="minorHAnsi" w:hAnsiTheme="minorHAnsi" w:cstheme="minorHAnsi"/>
      <w:sz w:val="18"/>
      <w:szCs w:val="18"/>
    </w:rPr>
  </w:style>
  <w:style w:type="paragraph" w:styleId="TOC8">
    <w:name w:val="toc 8"/>
    <w:basedOn w:val="Normal"/>
    <w:next w:val="Normal"/>
    <w:autoRedefine/>
    <w:semiHidden/>
    <w:rsid w:val="004B7D56"/>
    <w:pPr>
      <w:ind w:left="1540"/>
    </w:pPr>
    <w:rPr>
      <w:rFonts w:asciiTheme="minorHAnsi" w:hAnsiTheme="minorHAnsi" w:cstheme="minorHAnsi"/>
      <w:sz w:val="18"/>
      <w:szCs w:val="18"/>
    </w:rPr>
  </w:style>
  <w:style w:type="paragraph" w:styleId="TOC9">
    <w:name w:val="toc 9"/>
    <w:basedOn w:val="Normal"/>
    <w:next w:val="Normal"/>
    <w:autoRedefine/>
    <w:semiHidden/>
    <w:rsid w:val="004B7D56"/>
    <w:pPr>
      <w:ind w:left="1760"/>
    </w:pPr>
    <w:rPr>
      <w:rFonts w:asciiTheme="minorHAnsi" w:hAnsiTheme="minorHAnsi" w:cstheme="minorHAnsi"/>
      <w:sz w:val="18"/>
      <w:szCs w:val="18"/>
    </w:rPr>
  </w:style>
  <w:style w:type="character" w:styleId="FootnoteReference">
    <w:name w:val="footnote reference"/>
    <w:basedOn w:val="DefaultParagraphFont"/>
    <w:rsid w:val="004B7D56"/>
    <w:rPr>
      <w:vertAlign w:val="superscript"/>
    </w:rPr>
  </w:style>
  <w:style w:type="paragraph" w:customStyle="1" w:styleId="FSDecisionHeading">
    <w:name w:val="FS Decision Heading"/>
    <w:basedOn w:val="Normal"/>
    <w:next w:val="FSDecisiontext"/>
    <w:qFormat/>
    <w:rsid w:val="004B7D56"/>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4B7D56"/>
    <w:pPr>
      <w:pBdr>
        <w:top w:val="single" w:sz="4" w:space="1" w:color="auto"/>
        <w:left w:val="single" w:sz="4" w:space="4" w:color="auto"/>
        <w:bottom w:val="single" w:sz="4" w:space="1" w:color="auto"/>
        <w:right w:val="single" w:sz="4" w:space="4" w:color="auto"/>
      </w:pBdr>
    </w:pPr>
    <w:rPr>
      <w:rFonts w:ascii="Arial Bold" w:hAnsi="Arial Bold"/>
    </w:rPr>
  </w:style>
  <w:style w:type="paragraph" w:styleId="BalloonText">
    <w:name w:val="Balloon Text"/>
    <w:basedOn w:val="Normal"/>
    <w:link w:val="BalloonTextChar"/>
    <w:semiHidden/>
    <w:rsid w:val="004B7D56"/>
    <w:rPr>
      <w:rFonts w:ascii="Tahoma" w:hAnsi="Tahoma" w:cs="Tahoma"/>
      <w:sz w:val="16"/>
      <w:szCs w:val="16"/>
    </w:rPr>
  </w:style>
  <w:style w:type="character" w:customStyle="1" w:styleId="BalloonTextChar">
    <w:name w:val="Balloon Text Char"/>
    <w:basedOn w:val="DefaultParagraphFont"/>
    <w:link w:val="BalloonText"/>
    <w:semiHidden/>
    <w:rsid w:val="004B7D56"/>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4B7D56"/>
    <w:pPr>
      <w:outlineLvl w:val="9"/>
    </w:pPr>
  </w:style>
  <w:style w:type="paragraph" w:customStyle="1" w:styleId="FSBullet">
    <w:name w:val="FS Bullet"/>
    <w:basedOn w:val="FSBullet10"/>
    <w:next w:val="Normal"/>
    <w:link w:val="FSBulletChar"/>
    <w:rsid w:val="004B7D56"/>
  </w:style>
  <w:style w:type="character" w:customStyle="1" w:styleId="FSBulletChar">
    <w:name w:val="FS Bullet Char"/>
    <w:basedOn w:val="DefaultParagraphFont"/>
    <w:link w:val="FSBullet"/>
    <w:rsid w:val="004B7D56"/>
    <w:rPr>
      <w:rFonts w:eastAsia="Times New Roman"/>
      <w:szCs w:val="24"/>
      <w:lang w:val="en-GB" w:bidi="en-US"/>
    </w:rPr>
  </w:style>
  <w:style w:type="table" w:styleId="TableGrid">
    <w:name w:val="Table Grid"/>
    <w:basedOn w:val="TableNormal"/>
    <w:uiPriority w:val="59"/>
    <w:rsid w:val="004B7D5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B7D56"/>
    <w:pPr>
      <w:spacing w:after="120"/>
    </w:pPr>
    <w:rPr>
      <w:rFonts w:cs="Arial"/>
      <w:b/>
    </w:rPr>
  </w:style>
  <w:style w:type="paragraph" w:customStyle="1" w:styleId="FSTableHeading">
    <w:name w:val="FS Table Heading"/>
    <w:basedOn w:val="Normal"/>
    <w:qFormat/>
    <w:rsid w:val="004B7D56"/>
    <w:pPr>
      <w:jc w:val="center"/>
    </w:pPr>
    <w:rPr>
      <w:rFonts w:ascii="Arial Bold" w:hAnsi="Arial Bold" w:cs="Arial"/>
      <w:b/>
      <w:sz w:val="20"/>
      <w:szCs w:val="20"/>
    </w:rPr>
  </w:style>
  <w:style w:type="paragraph" w:customStyle="1" w:styleId="FSTableText">
    <w:name w:val="FS Table Text"/>
    <w:basedOn w:val="Normal"/>
    <w:qFormat/>
    <w:rsid w:val="004B7D56"/>
    <w:rPr>
      <w:rFonts w:cs="Arial"/>
      <w:sz w:val="20"/>
      <w:szCs w:val="20"/>
    </w:rPr>
  </w:style>
  <w:style w:type="paragraph" w:customStyle="1" w:styleId="FSFigureTitle">
    <w:name w:val="FS Figure Title"/>
    <w:basedOn w:val="Normal"/>
    <w:next w:val="Normal"/>
    <w:qFormat/>
    <w:rsid w:val="004B7D56"/>
    <w:rPr>
      <w:rFonts w:cs="Arial"/>
      <w:i/>
    </w:rPr>
  </w:style>
  <w:style w:type="character" w:styleId="CommentReference">
    <w:name w:val="annotation reference"/>
    <w:basedOn w:val="DefaultParagraphFont"/>
    <w:rsid w:val="004B7D56"/>
    <w:rPr>
      <w:sz w:val="16"/>
      <w:szCs w:val="16"/>
    </w:rPr>
  </w:style>
  <w:style w:type="paragraph" w:styleId="CommentText">
    <w:name w:val="annotation text"/>
    <w:basedOn w:val="Normal"/>
    <w:link w:val="CommentTextChar"/>
    <w:rsid w:val="004B7D56"/>
    <w:rPr>
      <w:sz w:val="20"/>
      <w:szCs w:val="20"/>
    </w:rPr>
  </w:style>
  <w:style w:type="character" w:customStyle="1" w:styleId="CommentTextChar">
    <w:name w:val="Comment Text Char"/>
    <w:basedOn w:val="DefaultParagraphFont"/>
    <w:link w:val="CommentText"/>
    <w:rsid w:val="004B7D56"/>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4B7D56"/>
    <w:rPr>
      <w:b/>
      <w:bCs/>
    </w:rPr>
  </w:style>
  <w:style w:type="character" w:customStyle="1" w:styleId="CommentSubjectChar">
    <w:name w:val="Comment Subject Char"/>
    <w:basedOn w:val="CommentTextChar"/>
    <w:link w:val="CommentSubject"/>
    <w:rsid w:val="004B7D56"/>
    <w:rPr>
      <w:rFonts w:eastAsia="Times New Roman" w:cs="Times New Roman"/>
      <w:b/>
      <w:bCs/>
      <w:sz w:val="20"/>
      <w:szCs w:val="20"/>
      <w:lang w:val="en-GB" w:bidi="en-US"/>
    </w:rPr>
  </w:style>
  <w:style w:type="table" w:styleId="TableColorful3">
    <w:name w:val="Table Colorful 3"/>
    <w:basedOn w:val="TableNormal"/>
    <w:rsid w:val="004B7D56"/>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4B7D5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B7D5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B7D5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4B7D56"/>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4B7D56"/>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4B7D56"/>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4B7D56"/>
    <w:rPr>
      <w:rFonts w:eastAsia="Times New Roman" w:cs="Times New Roman"/>
      <w:szCs w:val="24"/>
      <w:lang w:val="en-GB" w:bidi="en-US"/>
    </w:rPr>
  </w:style>
  <w:style w:type="table" w:customStyle="1" w:styleId="MediumShading1-Accent31">
    <w:name w:val="Medium Shading 1 - Accent 31"/>
    <w:basedOn w:val="TableNormal"/>
    <w:next w:val="MediumShading1-Accent3"/>
    <w:uiPriority w:val="63"/>
    <w:rsid w:val="004B7D5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EndnoteText">
    <w:name w:val="endnote text"/>
    <w:basedOn w:val="Normal"/>
    <w:link w:val="EndnoteTextChar"/>
    <w:rsid w:val="004B7D56"/>
    <w:rPr>
      <w:sz w:val="20"/>
      <w:szCs w:val="20"/>
      <w:lang w:bidi="ar-SA"/>
    </w:rPr>
  </w:style>
  <w:style w:type="character" w:customStyle="1" w:styleId="EndnoteTextChar">
    <w:name w:val="Endnote Text Char"/>
    <w:basedOn w:val="DefaultParagraphFont"/>
    <w:link w:val="EndnoteText"/>
    <w:rsid w:val="004B7D56"/>
    <w:rPr>
      <w:rFonts w:eastAsia="Times New Roman" w:cs="Times New Roman"/>
      <w:sz w:val="20"/>
      <w:szCs w:val="20"/>
      <w:lang w:val="en-GB"/>
    </w:rPr>
  </w:style>
  <w:style w:type="character" w:styleId="EndnoteReference">
    <w:name w:val="endnote reference"/>
    <w:basedOn w:val="DefaultParagraphFont"/>
    <w:rsid w:val="004B7D56"/>
    <w:rPr>
      <w:vertAlign w:val="superscript"/>
    </w:rPr>
  </w:style>
  <w:style w:type="paragraph" w:customStyle="1" w:styleId="FSBullet10">
    <w:name w:val="FS Bullet 1"/>
    <w:basedOn w:val="Normal"/>
    <w:next w:val="Normal"/>
    <w:link w:val="FSBullet1Char0"/>
    <w:qFormat/>
    <w:rsid w:val="00230316"/>
    <w:pPr>
      <w:numPr>
        <w:numId w:val="21"/>
      </w:numPr>
      <w:ind w:left="567" w:hanging="567"/>
    </w:pPr>
    <w:rPr>
      <w:rFonts w:cs="Arial"/>
    </w:rPr>
  </w:style>
  <w:style w:type="character" w:customStyle="1" w:styleId="FSBullet1Char0">
    <w:name w:val="FS Bullet 1 Char"/>
    <w:link w:val="FSBullet10"/>
    <w:rsid w:val="00230316"/>
    <w:rPr>
      <w:rFonts w:eastAsia="Times New Roman"/>
      <w:szCs w:val="24"/>
      <w:lang w:val="en-GB" w:bidi="en-US"/>
    </w:rPr>
  </w:style>
  <w:style w:type="character" w:customStyle="1" w:styleId="SubclauseChar">
    <w:name w:val="Subclause Char"/>
    <w:basedOn w:val="DefaultParagraphFont"/>
    <w:link w:val="Subclause"/>
    <w:rsid w:val="004B7D56"/>
    <w:rPr>
      <w:rFonts w:eastAsia="Times New Roman" w:cs="Times New Roman"/>
      <w:sz w:val="20"/>
      <w:szCs w:val="20"/>
      <w:lang w:val="en-GB" w:bidi="en-US"/>
    </w:rPr>
  </w:style>
  <w:style w:type="character" w:customStyle="1" w:styleId="ParagraphChar">
    <w:name w:val="Paragraph Char"/>
    <w:basedOn w:val="DefaultParagraphFont"/>
    <w:link w:val="Paragraph"/>
    <w:rsid w:val="004B7D56"/>
    <w:rPr>
      <w:rFonts w:eastAsia="Times New Roman" w:cs="Times New Roman"/>
      <w:sz w:val="20"/>
      <w:szCs w:val="20"/>
      <w:lang w:val="en-GB" w:bidi="en-US"/>
    </w:rPr>
  </w:style>
  <w:style w:type="paragraph" w:customStyle="1" w:styleId="heading">
    <w:name w:val="heading"/>
    <w:basedOn w:val="Normal"/>
    <w:rsid w:val="004B7D56"/>
    <w:pPr>
      <w:tabs>
        <w:tab w:val="left" w:pos="840"/>
      </w:tabs>
      <w:jc w:val="both"/>
    </w:pPr>
    <w:rPr>
      <w:rFonts w:ascii="Times New Roman" w:hAnsi="Times New Roman"/>
      <w:b/>
      <w:caps/>
      <w:sz w:val="24"/>
      <w:szCs w:val="20"/>
      <w:lang w:bidi="ar-SA"/>
    </w:rPr>
  </w:style>
  <w:style w:type="paragraph" w:customStyle="1" w:styleId="1aindent">
    <w:name w:val="*(1)(a) indent"/>
    <w:basedOn w:val="Normal"/>
    <w:rsid w:val="004B7D56"/>
    <w:pPr>
      <w:ind w:right="6"/>
    </w:pPr>
    <w:rPr>
      <w:rFonts w:ascii="Times New Roman" w:hAnsi="Times New Roman"/>
      <w:sz w:val="24"/>
      <w:lang w:bidi="ar-SA"/>
    </w:rPr>
  </w:style>
  <w:style w:type="paragraph" w:customStyle="1" w:styleId="Clauseheading0">
    <w:name w:val="*Clause heading"/>
    <w:basedOn w:val="Normal"/>
    <w:rsid w:val="004B7D56"/>
    <w:pPr>
      <w:tabs>
        <w:tab w:val="left" w:pos="851"/>
      </w:tabs>
    </w:pPr>
    <w:rPr>
      <w:rFonts w:ascii="Times New Roman" w:hAnsi="Times New Roman"/>
      <w:b/>
      <w:bCs/>
      <w:sz w:val="24"/>
      <w:lang w:bidi="ar-SA"/>
    </w:rPr>
  </w:style>
  <w:style w:type="paragraph" w:customStyle="1" w:styleId="1ai">
    <w:name w:val="*(1)(a)(i)"/>
    <w:basedOn w:val="Normal"/>
    <w:next w:val="Normal"/>
    <w:rsid w:val="004B7D56"/>
    <w:pPr>
      <w:tabs>
        <w:tab w:val="left" w:pos="851"/>
      </w:tabs>
      <w:spacing w:line="240" w:lineRule="atLeast"/>
      <w:ind w:left="2552" w:hanging="840"/>
    </w:pPr>
    <w:rPr>
      <w:rFonts w:ascii="Times New Roman" w:hAnsi="Times New Roman"/>
      <w:sz w:val="24"/>
      <w:szCs w:val="20"/>
      <w:lang w:bidi="ar-SA"/>
    </w:rPr>
  </w:style>
  <w:style w:type="paragraph" w:customStyle="1" w:styleId="Bullet">
    <w:name w:val="Bullet"/>
    <w:basedOn w:val="Normal"/>
    <w:rsid w:val="004B7D56"/>
    <w:pPr>
      <w:numPr>
        <w:numId w:val="31"/>
      </w:numPr>
    </w:pPr>
    <w:rPr>
      <w:rFonts w:ascii="Times New Roman" w:hAnsi="Times New Roman"/>
      <w:sz w:val="24"/>
      <w:lang w:bidi="ar-SA"/>
    </w:rPr>
  </w:style>
  <w:style w:type="paragraph" w:styleId="Title">
    <w:name w:val="Title"/>
    <w:basedOn w:val="Normal"/>
    <w:link w:val="TitleChar"/>
    <w:rsid w:val="004B7D56"/>
    <w:pPr>
      <w:tabs>
        <w:tab w:val="left" w:pos="6521"/>
        <w:tab w:val="left" w:pos="8363"/>
      </w:tabs>
      <w:jc w:val="center"/>
    </w:pPr>
    <w:rPr>
      <w:rFonts w:ascii="Times New Roman" w:hAnsi="Times New Roman"/>
      <w:b/>
      <w:sz w:val="24"/>
      <w:szCs w:val="20"/>
      <w:lang w:val="en-AU" w:eastAsia="en-NZ" w:bidi="ar-SA"/>
    </w:rPr>
  </w:style>
  <w:style w:type="character" w:customStyle="1" w:styleId="TitleChar">
    <w:name w:val="Title Char"/>
    <w:basedOn w:val="DefaultParagraphFont"/>
    <w:link w:val="Title"/>
    <w:rsid w:val="004B7D56"/>
    <w:rPr>
      <w:rFonts w:ascii="Times New Roman" w:eastAsia="Times New Roman" w:hAnsi="Times New Roman" w:cs="Times New Roman"/>
      <w:b/>
      <w:sz w:val="24"/>
      <w:szCs w:val="20"/>
      <w:lang w:eastAsia="en-NZ"/>
    </w:rPr>
  </w:style>
  <w:style w:type="paragraph" w:customStyle="1" w:styleId="FSRecommendation">
    <w:name w:val="FS Recommendation"/>
    <w:basedOn w:val="Normal"/>
    <w:qFormat/>
    <w:rsid w:val="006F0430"/>
    <w:pPr>
      <w:ind w:left="567" w:hanging="567"/>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5855">
      <w:bodyDiv w:val="1"/>
      <w:marLeft w:val="0"/>
      <w:marRight w:val="0"/>
      <w:marTop w:val="0"/>
      <w:marBottom w:val="0"/>
      <w:divBdr>
        <w:top w:val="none" w:sz="0" w:space="0" w:color="auto"/>
        <w:left w:val="none" w:sz="0" w:space="0" w:color="auto"/>
        <w:bottom w:val="none" w:sz="0" w:space="0" w:color="auto"/>
        <w:right w:val="none" w:sz="0" w:space="0" w:color="auto"/>
      </w:divBdr>
    </w:div>
    <w:div w:id="697660084">
      <w:bodyDiv w:val="1"/>
      <w:marLeft w:val="0"/>
      <w:marRight w:val="0"/>
      <w:marTop w:val="0"/>
      <w:marBottom w:val="0"/>
      <w:divBdr>
        <w:top w:val="none" w:sz="0" w:space="0" w:color="auto"/>
        <w:left w:val="none" w:sz="0" w:space="0" w:color="auto"/>
        <w:bottom w:val="none" w:sz="0" w:space="0" w:color="auto"/>
        <w:right w:val="none" w:sz="0" w:space="0" w:color="auto"/>
      </w:divBdr>
    </w:div>
    <w:div w:id="979502703">
      <w:bodyDiv w:val="1"/>
      <w:marLeft w:val="0"/>
      <w:marRight w:val="0"/>
      <w:marTop w:val="0"/>
      <w:marBottom w:val="0"/>
      <w:divBdr>
        <w:top w:val="none" w:sz="0" w:space="0" w:color="auto"/>
        <w:left w:val="none" w:sz="0" w:space="0" w:color="auto"/>
        <w:bottom w:val="none" w:sz="0" w:space="0" w:color="auto"/>
        <w:right w:val="none" w:sz="0" w:space="0" w:color="auto"/>
      </w:divBdr>
    </w:div>
    <w:div w:id="1128939230">
      <w:bodyDiv w:val="1"/>
      <w:marLeft w:val="0"/>
      <w:marRight w:val="0"/>
      <w:marTop w:val="0"/>
      <w:marBottom w:val="0"/>
      <w:divBdr>
        <w:top w:val="none" w:sz="0" w:space="0" w:color="auto"/>
        <w:left w:val="none" w:sz="0" w:space="0" w:color="auto"/>
        <w:bottom w:val="none" w:sz="0" w:space="0" w:color="auto"/>
        <w:right w:val="none" w:sz="0" w:space="0" w:color="auto"/>
      </w:divBdr>
    </w:div>
    <w:div w:id="20169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ihw.gov.au/publication-detail/?id=107374209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hmrc.gov.au/_files_nhmrc/publications/attachments/n1.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de/proposals/Pages/proposalp274reviewofminimumagelabellingoffoodsforinfants/Default.aspx" TargetMode="External"/><Relationship Id="rId25" Type="http://schemas.openxmlformats.org/officeDocument/2006/relationships/hyperlink" Target="http://www.nhmrc.gov.au/_files_nhmrc/publications/attachments/n55_australian_dietary_guidelines_130530.pdf" TargetMode="External"/><Relationship Id="rId2" Type="http://schemas.openxmlformats.org/officeDocument/2006/relationships/numbering" Target="numbering.xml"/><Relationship Id="rId16" Type="http://schemas.openxmlformats.org/officeDocument/2006/relationships/hyperlink" Target="http://www.foodstandards.gov.au/code/proposals/Pages/proposalp274reviewofminimumagelabellingoffoodsforinfants/Default.aspx" TargetMode="External"/><Relationship Id="rId20" Type="http://schemas.openxmlformats.org/officeDocument/2006/relationships/hyperlink" Target="http://www.health.govt.nz/publication/health-new-zealand-children-2011-12.%20Accessed%2031%20July%202014"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hmrc.gov.au/_files_nhmrc/publications/attachments/n56a_infant_feeding_literature_review.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hmrc.gov.au/_files_nhmrc/publications/attachments/n56_infant_feeding_guidelines.pdf"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health.govt.nz/our-work/preventative-health-wellness/nutrition/food-and-nutrition-guidelines.%20Accessed%2031%20July%202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nhmrc.gov.au/_files_nhmrc/publications/attachments/n34.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1AED9-BC1D-49D7-B045-0C70E7F99798}"/>
</file>

<file path=customXml/itemProps2.xml><?xml version="1.0" encoding="utf-8"?>
<ds:datastoreItem xmlns:ds="http://schemas.openxmlformats.org/officeDocument/2006/customXml" ds:itemID="{26DF1FC8-4C30-47F8-9329-7661A0E65E5A}"/>
</file>

<file path=customXml/itemProps3.xml><?xml version="1.0" encoding="utf-8"?>
<ds:datastoreItem xmlns:ds="http://schemas.openxmlformats.org/officeDocument/2006/customXml" ds:itemID="{C1066F3E-8FD5-4657-986A-5E5718459CC7}"/>
</file>

<file path=customXml/itemProps4.xml><?xml version="1.0" encoding="utf-8"?>
<ds:datastoreItem xmlns:ds="http://schemas.openxmlformats.org/officeDocument/2006/customXml" ds:itemID="{393FCFF5-C430-4483-A27C-A0FEB3009B0E}"/>
</file>

<file path=docProps/app.xml><?xml version="1.0" encoding="utf-8"?>
<Properties xmlns="http://schemas.openxmlformats.org/officeDocument/2006/extended-properties" xmlns:vt="http://schemas.openxmlformats.org/officeDocument/2006/docPropsVTypes">
  <Template>Normal</Template>
  <TotalTime>0</TotalTime>
  <Pages>18</Pages>
  <Words>6465</Words>
  <Characters>36854</Characters>
  <Application>Microsoft Office Word</Application>
  <DocSecurity>0</DocSecurity>
  <Lines>307</Lines>
  <Paragraphs>86</Paragraphs>
  <ScaleCrop>false</ScaleCrop>
  <Company/>
  <LinksUpToDate>false</LinksUpToDate>
  <CharactersWithSpaces>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P274-RejR</dc:title>
  <dc:creator/>
  <cp:lastModifiedBy/>
  <cp:revision>1</cp:revision>
  <dcterms:created xsi:type="dcterms:W3CDTF">2014-10-02T05:35:00Z</dcterms:created>
  <dcterms:modified xsi:type="dcterms:W3CDTF">2014-10-02T05:35:00Z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