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645" w:rsidRPr="00115833" w:rsidRDefault="00FF0645" w:rsidP="00FF0645">
      <w:bookmarkStart w:id="0" w:name="_GoBack"/>
      <w:bookmarkEnd w:id="0"/>
      <w:r>
        <w:rPr>
          <w:noProof/>
          <w:lang w:eastAsia="en-GB" w:bidi="ar-SA"/>
        </w:rPr>
        <w:drawing>
          <wp:inline distT="0" distB="0" distL="0" distR="0" wp14:anchorId="7BC93DBE" wp14:editId="72528DC4">
            <wp:extent cx="3492500" cy="617220"/>
            <wp:effectExtent l="0" t="0" r="0" b="0"/>
            <wp:docPr id="1"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2500" cy="617220"/>
                    </a:xfrm>
                    <a:prstGeom prst="rect">
                      <a:avLst/>
                    </a:prstGeom>
                    <a:noFill/>
                    <a:ln>
                      <a:noFill/>
                    </a:ln>
                  </pic:spPr>
                </pic:pic>
              </a:graphicData>
            </a:graphic>
          </wp:inline>
        </w:drawing>
      </w:r>
    </w:p>
    <w:p w:rsidR="00FF0645" w:rsidRPr="00115833" w:rsidRDefault="00FF0645" w:rsidP="00FF0645"/>
    <w:p w:rsidR="00FF0645" w:rsidRPr="00115833" w:rsidRDefault="00FF0645" w:rsidP="00FF0645">
      <w:pPr>
        <w:pStyle w:val="FSTitle"/>
        <w:widowControl/>
        <w:rPr>
          <w:b/>
        </w:rPr>
      </w:pPr>
      <w:r w:rsidRPr="00115833">
        <w:rPr>
          <w:b/>
        </w:rPr>
        <w:t xml:space="preserve">Supporting document </w:t>
      </w:r>
      <w:r>
        <w:rPr>
          <w:b/>
        </w:rPr>
        <w:t>3</w:t>
      </w:r>
      <w:r w:rsidRPr="00115833">
        <w:rPr>
          <w:b/>
        </w:rPr>
        <w:t xml:space="preserve">  </w:t>
      </w:r>
    </w:p>
    <w:p w:rsidR="00FF0645" w:rsidRPr="00115833" w:rsidRDefault="00FF0645" w:rsidP="00FF0645"/>
    <w:p w:rsidR="00FF0645" w:rsidRDefault="006229C0" w:rsidP="00FF0645">
      <w:pPr>
        <w:pStyle w:val="FSTitle"/>
      </w:pPr>
      <w:r>
        <w:t>Key outstanding i</w:t>
      </w:r>
      <w:r w:rsidR="00FF0645">
        <w:t>ssues raised by submitters at Preliminary Final Assessment –</w:t>
      </w:r>
      <w:r w:rsidR="00FF0645" w:rsidRPr="00882590">
        <w:t xml:space="preserve"> Proposal P274 </w:t>
      </w:r>
    </w:p>
    <w:p w:rsidR="00F96B80" w:rsidRPr="00F96B80" w:rsidRDefault="00F96B80" w:rsidP="00FF0645">
      <w:pPr>
        <w:pStyle w:val="FSTitle"/>
        <w:rPr>
          <w:sz w:val="22"/>
        </w:rPr>
      </w:pPr>
    </w:p>
    <w:p w:rsidR="00F96B80" w:rsidRDefault="00F96B80" w:rsidP="00FF0645">
      <w:pPr>
        <w:pStyle w:val="FSTitle"/>
      </w:pPr>
      <w:r w:rsidRPr="00882590">
        <w:t>Review of Minimum Age Labelling of Foods for Infants</w:t>
      </w:r>
    </w:p>
    <w:p w:rsidR="00FF0645" w:rsidRPr="00115833" w:rsidRDefault="00FF0645" w:rsidP="00FF0645">
      <w:pPr>
        <w:pBdr>
          <w:bottom w:val="single" w:sz="12" w:space="1" w:color="auto"/>
        </w:pBdr>
        <w:spacing w:line="280" w:lineRule="exact"/>
        <w:rPr>
          <w:rFonts w:cs="Arial"/>
          <w:bCs/>
        </w:rPr>
      </w:pPr>
    </w:p>
    <w:p w:rsidR="000C7E7A" w:rsidRDefault="000C7E7A" w:rsidP="000C7E7A">
      <w:pPr>
        <w:pStyle w:val="FSTableText"/>
        <w:rPr>
          <w:b/>
        </w:rPr>
      </w:pPr>
    </w:p>
    <w:p w:rsidR="00CA0D1F" w:rsidRPr="00115833" w:rsidRDefault="00CA0D1F" w:rsidP="006229C0">
      <w:pPr>
        <w:keepNext/>
        <w:keepLines/>
      </w:pPr>
      <w:r w:rsidRPr="00115833">
        <w:rPr>
          <w:rFonts w:cs="Arial"/>
          <w:szCs w:val="22"/>
        </w:rPr>
        <w:t xml:space="preserve">In </w:t>
      </w:r>
      <w:r>
        <w:rPr>
          <w:rFonts w:cs="Arial"/>
          <w:szCs w:val="22"/>
        </w:rPr>
        <w:t>August</w:t>
      </w:r>
      <w:r w:rsidRPr="00115833">
        <w:rPr>
          <w:rFonts w:cs="Arial"/>
          <w:szCs w:val="22"/>
        </w:rPr>
        <w:t xml:space="preserve"> 2008, FSANZ released a P</w:t>
      </w:r>
      <w:r>
        <w:rPr>
          <w:rFonts w:cs="Arial"/>
          <w:szCs w:val="22"/>
        </w:rPr>
        <w:t xml:space="preserve">reliminary </w:t>
      </w:r>
      <w:r w:rsidRPr="00115833">
        <w:rPr>
          <w:rFonts w:cs="Arial"/>
          <w:szCs w:val="22"/>
        </w:rPr>
        <w:t>F</w:t>
      </w:r>
      <w:r>
        <w:rPr>
          <w:rFonts w:cs="Arial"/>
          <w:szCs w:val="22"/>
        </w:rPr>
        <w:t xml:space="preserve">inal </w:t>
      </w:r>
      <w:r w:rsidRPr="00115833">
        <w:rPr>
          <w:rFonts w:cs="Arial"/>
          <w:szCs w:val="22"/>
        </w:rPr>
        <w:t>A</w:t>
      </w:r>
      <w:r>
        <w:rPr>
          <w:rFonts w:cs="Arial"/>
          <w:szCs w:val="22"/>
        </w:rPr>
        <w:t xml:space="preserve">ssessment </w:t>
      </w:r>
      <w:r w:rsidRPr="00115833">
        <w:rPr>
          <w:rFonts w:cs="Arial"/>
          <w:szCs w:val="22"/>
        </w:rPr>
        <w:t>R</w:t>
      </w:r>
      <w:r>
        <w:rPr>
          <w:rFonts w:cs="Arial"/>
          <w:szCs w:val="22"/>
        </w:rPr>
        <w:t>eport</w:t>
      </w:r>
      <w:r w:rsidRPr="00115833">
        <w:rPr>
          <w:rFonts w:cs="Arial"/>
          <w:szCs w:val="22"/>
        </w:rPr>
        <w:t xml:space="preserve"> </w:t>
      </w:r>
      <w:r w:rsidR="006229C0">
        <w:rPr>
          <w:rFonts w:cs="Arial"/>
          <w:szCs w:val="22"/>
        </w:rPr>
        <w:t xml:space="preserve">(PFAR) </w:t>
      </w:r>
      <w:r w:rsidRPr="00115833">
        <w:rPr>
          <w:rFonts w:cs="Arial"/>
          <w:szCs w:val="22"/>
        </w:rPr>
        <w:t xml:space="preserve">for public consultation. </w:t>
      </w:r>
      <w:r w:rsidR="006229C0">
        <w:rPr>
          <w:rFonts w:cs="Arial"/>
          <w:szCs w:val="22"/>
        </w:rPr>
        <w:t>The following table summarise</w:t>
      </w:r>
      <w:r w:rsidR="00044EC6">
        <w:rPr>
          <w:rFonts w:cs="Arial"/>
          <w:szCs w:val="22"/>
        </w:rPr>
        <w:t>s</w:t>
      </w:r>
      <w:r w:rsidR="006229C0">
        <w:rPr>
          <w:rFonts w:cs="Arial"/>
          <w:szCs w:val="22"/>
        </w:rPr>
        <w:t xml:space="preserve"> the key outstanding issues </w:t>
      </w:r>
      <w:bookmarkStart w:id="1" w:name="_Toc363140566"/>
      <w:r w:rsidRPr="00115833">
        <w:t xml:space="preserve">raised by submitters </w:t>
      </w:r>
      <w:r w:rsidR="006229C0">
        <w:t>in this consultation</w:t>
      </w:r>
      <w:r w:rsidR="00044EC6">
        <w:t>;</w:t>
      </w:r>
      <w:r w:rsidR="006229C0">
        <w:t xml:space="preserve"> it is not a comprehensive summary of the submissions received.</w:t>
      </w:r>
      <w:r w:rsidRPr="00115833">
        <w:t xml:space="preserve"> </w:t>
      </w:r>
      <w:r w:rsidR="006229C0">
        <w:t>These include submissions from the following stakeholders:</w:t>
      </w:r>
      <w:bookmarkEnd w:id="1"/>
    </w:p>
    <w:p w:rsidR="00B27E77" w:rsidRDefault="00B27E77" w:rsidP="00B27E77">
      <w:pPr>
        <w:pStyle w:val="FSBullet1"/>
        <w:ind w:left="567" w:firstLine="0"/>
      </w:pPr>
    </w:p>
    <w:p w:rsidR="00FF0645" w:rsidRDefault="00FF0645" w:rsidP="00FF0645">
      <w:pPr>
        <w:pStyle w:val="FSBullet1"/>
        <w:numPr>
          <w:ilvl w:val="0"/>
          <w:numId w:val="9"/>
        </w:numPr>
        <w:ind w:left="567" w:hanging="567"/>
      </w:pPr>
      <w:r w:rsidRPr="00BF18E4">
        <w:t xml:space="preserve">Australian Food and Grocery Council (AFGC) </w:t>
      </w:r>
    </w:p>
    <w:p w:rsidR="00FF0645" w:rsidRPr="00BF18E4" w:rsidRDefault="00FF0645" w:rsidP="00FF0645">
      <w:pPr>
        <w:pStyle w:val="FSBullet1"/>
        <w:numPr>
          <w:ilvl w:val="0"/>
          <w:numId w:val="9"/>
        </w:numPr>
        <w:ind w:left="567" w:hanging="567"/>
      </w:pPr>
      <w:r>
        <w:t xml:space="preserve">Dietitians Association of Australia </w:t>
      </w:r>
      <w:r w:rsidRPr="00BF18E4">
        <w:t>(</w:t>
      </w:r>
      <w:r>
        <w:t>DAA</w:t>
      </w:r>
      <w:r w:rsidRPr="00BF18E4">
        <w:t>)</w:t>
      </w:r>
    </w:p>
    <w:p w:rsidR="00FF0645" w:rsidRDefault="00FF0645" w:rsidP="00FF0645">
      <w:pPr>
        <w:pStyle w:val="FSBullet1"/>
        <w:numPr>
          <w:ilvl w:val="0"/>
          <w:numId w:val="9"/>
        </w:numPr>
        <w:ind w:left="567" w:hanging="567"/>
      </w:pPr>
      <w:r>
        <w:t>Australasian Society of Clinical Immunology &amp; Allergy (ASCIA)</w:t>
      </w:r>
    </w:p>
    <w:p w:rsidR="00FF0645" w:rsidRPr="00BF18E4" w:rsidRDefault="00FF0645" w:rsidP="00FF0645">
      <w:pPr>
        <w:pStyle w:val="FSBullet1"/>
        <w:numPr>
          <w:ilvl w:val="0"/>
          <w:numId w:val="9"/>
        </w:numPr>
        <w:ind w:left="567" w:hanging="567"/>
      </w:pPr>
      <w:r w:rsidRPr="00BF18E4">
        <w:t xml:space="preserve">Food Technology Association of Australia (FTAA) </w:t>
      </w:r>
    </w:p>
    <w:p w:rsidR="00FF0645" w:rsidRPr="00BF18E4" w:rsidRDefault="00423A03" w:rsidP="00FF0645">
      <w:pPr>
        <w:pStyle w:val="FSBullet1"/>
        <w:numPr>
          <w:ilvl w:val="0"/>
          <w:numId w:val="9"/>
        </w:numPr>
        <w:ind w:left="567" w:hanging="567"/>
      </w:pPr>
      <w:r>
        <w:t>New Zealand Dietetics</w:t>
      </w:r>
      <w:r w:rsidR="00FF0645" w:rsidRPr="00BF18E4">
        <w:t xml:space="preserve"> (</w:t>
      </w:r>
      <w:r>
        <w:t>NZDA</w:t>
      </w:r>
      <w:r w:rsidR="00FF0645" w:rsidRPr="00BF18E4">
        <w:t>)</w:t>
      </w:r>
    </w:p>
    <w:p w:rsidR="00B27E77" w:rsidRPr="00B27E77" w:rsidRDefault="00423A03" w:rsidP="00B27E77">
      <w:pPr>
        <w:pStyle w:val="FSBullet1"/>
        <w:numPr>
          <w:ilvl w:val="0"/>
          <w:numId w:val="9"/>
        </w:numPr>
        <w:ind w:left="567" w:hanging="567"/>
      </w:pPr>
      <w:r w:rsidRPr="00BF18E4">
        <w:t xml:space="preserve">New Zealand </w:t>
      </w:r>
      <w:r>
        <w:t xml:space="preserve">Food Safety </w:t>
      </w:r>
      <w:r w:rsidR="00B27E77">
        <w:t xml:space="preserve">Authority and </w:t>
      </w:r>
      <w:r w:rsidR="00B27E77" w:rsidRPr="00B27E77">
        <w:t xml:space="preserve">The New Zealand Ministry of Health (NZFSA &amp; NZ </w:t>
      </w:r>
      <w:proofErr w:type="spellStart"/>
      <w:r w:rsidR="00B27E77" w:rsidRPr="00B27E77">
        <w:t>MoH</w:t>
      </w:r>
      <w:proofErr w:type="spellEnd"/>
      <w:r w:rsidR="00B27E77" w:rsidRPr="00B27E77">
        <w:t xml:space="preserve">) </w:t>
      </w:r>
    </w:p>
    <w:p w:rsidR="00FF0645" w:rsidRPr="00BF18E4" w:rsidRDefault="00FF0645" w:rsidP="00B27E77">
      <w:pPr>
        <w:pStyle w:val="FSBullet1"/>
        <w:numPr>
          <w:ilvl w:val="0"/>
          <w:numId w:val="9"/>
        </w:numPr>
        <w:ind w:left="567" w:hanging="567"/>
      </w:pPr>
      <w:r w:rsidRPr="00BF18E4">
        <w:t xml:space="preserve">Nestlé </w:t>
      </w:r>
    </w:p>
    <w:p w:rsidR="00FF0645" w:rsidRPr="000E5409" w:rsidRDefault="00FF0645" w:rsidP="00FF0645">
      <w:pPr>
        <w:pStyle w:val="FSBullet1"/>
        <w:numPr>
          <w:ilvl w:val="0"/>
          <w:numId w:val="9"/>
        </w:numPr>
        <w:ind w:left="567" w:hanging="567"/>
        <w:rPr>
          <w:szCs w:val="22"/>
        </w:rPr>
      </w:pPr>
      <w:r w:rsidRPr="000E5409">
        <w:rPr>
          <w:szCs w:val="22"/>
        </w:rPr>
        <w:t>New Zealand Food and Grocery Council (NZFGC)</w:t>
      </w:r>
    </w:p>
    <w:p w:rsidR="00FF0645" w:rsidRPr="00BF18E4" w:rsidRDefault="00423A03" w:rsidP="00FF0645">
      <w:pPr>
        <w:pStyle w:val="FSBullet1"/>
        <w:numPr>
          <w:ilvl w:val="0"/>
          <w:numId w:val="9"/>
        </w:numPr>
        <w:ind w:left="567" w:hanging="567"/>
      </w:pPr>
      <w:r w:rsidRPr="00423A03">
        <w:rPr>
          <w:rFonts w:ascii="Helvetica" w:eastAsiaTheme="minorHAnsi" w:hAnsi="Helvetica" w:cs="Helvetica"/>
        </w:rPr>
        <w:t>Food Safety Unit</w:t>
      </w:r>
      <w:r w:rsidR="000E5409">
        <w:rPr>
          <w:rFonts w:ascii="Helvetica" w:eastAsiaTheme="minorHAnsi" w:hAnsi="Helvetica" w:cs="Helvetica"/>
        </w:rPr>
        <w:t>,</w:t>
      </w:r>
      <w:r w:rsidRPr="00423A03">
        <w:rPr>
          <w:rFonts w:ascii="Helvetica" w:eastAsiaTheme="minorHAnsi" w:hAnsi="Helvetica" w:cs="Helvetica"/>
        </w:rPr>
        <w:t xml:space="preserve"> Department of Human Services</w:t>
      </w:r>
      <w:r w:rsidR="00B27E77">
        <w:rPr>
          <w:rFonts w:ascii="Helvetica" w:eastAsiaTheme="minorHAnsi" w:hAnsi="Helvetica" w:cs="Helvetica"/>
        </w:rPr>
        <w:t xml:space="preserve"> Victoria</w:t>
      </w:r>
      <w:r w:rsidRPr="00423A03">
        <w:rPr>
          <w:sz w:val="20"/>
        </w:rPr>
        <w:t xml:space="preserve"> </w:t>
      </w:r>
      <w:r w:rsidR="000E5409">
        <w:rPr>
          <w:sz w:val="20"/>
        </w:rPr>
        <w:t>(</w:t>
      </w:r>
      <w:r w:rsidR="00D501DC">
        <w:t>Victoria DHS</w:t>
      </w:r>
      <w:r w:rsidR="000E5409">
        <w:t>)</w:t>
      </w:r>
      <w:r>
        <w:t xml:space="preserve"> </w:t>
      </w:r>
    </w:p>
    <w:p w:rsidR="00FF0645" w:rsidRPr="000E5409" w:rsidRDefault="000E5409" w:rsidP="000E5409">
      <w:pPr>
        <w:pStyle w:val="FSBullet1"/>
        <w:numPr>
          <w:ilvl w:val="0"/>
          <w:numId w:val="9"/>
        </w:numPr>
        <w:ind w:left="567" w:hanging="567"/>
        <w:rPr>
          <w:rFonts w:ascii="Helvetica" w:eastAsiaTheme="minorHAnsi" w:hAnsi="Helvetica" w:cs="Helvetica"/>
        </w:rPr>
      </w:pPr>
      <w:r w:rsidRPr="000E5409">
        <w:rPr>
          <w:rFonts w:ascii="Helvetica" w:eastAsiaTheme="minorHAnsi" w:hAnsi="Helvetica" w:cs="Helvetica"/>
        </w:rPr>
        <w:t xml:space="preserve">H.J. Heinz Company Australia Limited </w:t>
      </w:r>
      <w:r w:rsidR="00FF0645" w:rsidRPr="000E5409">
        <w:rPr>
          <w:rFonts w:ascii="Helvetica" w:eastAsiaTheme="minorHAnsi" w:hAnsi="Helvetica" w:cs="Helvetica"/>
        </w:rPr>
        <w:t>(</w:t>
      </w:r>
      <w:r w:rsidRPr="000E5409">
        <w:rPr>
          <w:rFonts w:ascii="Helvetica" w:eastAsiaTheme="minorHAnsi" w:hAnsi="Helvetica" w:cs="Helvetica"/>
        </w:rPr>
        <w:t>Heinz</w:t>
      </w:r>
      <w:r w:rsidR="00FF0645" w:rsidRPr="000E5409">
        <w:rPr>
          <w:rFonts w:ascii="Helvetica" w:eastAsiaTheme="minorHAnsi" w:hAnsi="Helvetica" w:cs="Helvetica"/>
        </w:rPr>
        <w:t>)</w:t>
      </w:r>
    </w:p>
    <w:p w:rsidR="000E5409" w:rsidRPr="000E5409" w:rsidRDefault="000E5409" w:rsidP="000E5409">
      <w:pPr>
        <w:pStyle w:val="FSBullet1"/>
        <w:numPr>
          <w:ilvl w:val="0"/>
          <w:numId w:val="9"/>
        </w:numPr>
        <w:ind w:left="567" w:hanging="567"/>
        <w:rPr>
          <w:rFonts w:ascii="Helvetica" w:eastAsiaTheme="minorHAnsi" w:hAnsi="Helvetica" w:cs="Helvetica"/>
        </w:rPr>
      </w:pPr>
      <w:r w:rsidRPr="000E5409">
        <w:rPr>
          <w:rFonts w:ascii="Helvetica" w:eastAsiaTheme="minorHAnsi" w:hAnsi="Helvetica" w:cs="Helvetica"/>
        </w:rPr>
        <w:t>La Leche League New Zealand (LLLNZ)</w:t>
      </w:r>
    </w:p>
    <w:p w:rsidR="000E5409" w:rsidRDefault="000E5409" w:rsidP="000E5409">
      <w:pPr>
        <w:pStyle w:val="FSBullet1"/>
        <w:numPr>
          <w:ilvl w:val="0"/>
          <w:numId w:val="9"/>
        </w:numPr>
        <w:ind w:left="567" w:hanging="567"/>
        <w:rPr>
          <w:rFonts w:eastAsiaTheme="minorHAnsi"/>
        </w:rPr>
      </w:pPr>
      <w:r w:rsidRPr="000E5409">
        <w:rPr>
          <w:rFonts w:ascii="Helvetica" w:eastAsiaTheme="minorHAnsi" w:hAnsi="Helvetica" w:cs="Helvetica"/>
        </w:rPr>
        <w:t xml:space="preserve">Food Safety Policy and Regulation Section, </w:t>
      </w:r>
      <w:r w:rsidRPr="000E5409">
        <w:rPr>
          <w:rFonts w:eastAsiaTheme="minorHAnsi"/>
        </w:rPr>
        <w:t>Environmental Health Unit, Queensland Health</w:t>
      </w:r>
      <w:r w:rsidR="00B27E77">
        <w:rPr>
          <w:rFonts w:eastAsiaTheme="minorHAnsi"/>
        </w:rPr>
        <w:t xml:space="preserve"> (QLD Health)</w:t>
      </w:r>
    </w:p>
    <w:p w:rsidR="00B27E77" w:rsidRDefault="00B27E77" w:rsidP="00B27E77">
      <w:pPr>
        <w:pStyle w:val="FSBullet1"/>
        <w:numPr>
          <w:ilvl w:val="0"/>
          <w:numId w:val="9"/>
        </w:numPr>
        <w:ind w:left="567" w:hanging="567"/>
        <w:rPr>
          <w:rFonts w:ascii="Helvetica" w:eastAsiaTheme="minorHAnsi" w:hAnsi="Helvetica" w:cs="Helvetica"/>
        </w:rPr>
      </w:pPr>
      <w:r w:rsidRPr="00B27E77">
        <w:rPr>
          <w:rFonts w:ascii="Helvetica" w:eastAsiaTheme="minorHAnsi" w:hAnsi="Helvetica" w:cs="Helvetica"/>
        </w:rPr>
        <w:t>Department of Human Services Tasmania (Tasmania DHS)</w:t>
      </w:r>
    </w:p>
    <w:p w:rsidR="006229C0" w:rsidRDefault="006229C0" w:rsidP="006229C0">
      <w:pPr>
        <w:pStyle w:val="FSBullet1"/>
        <w:numPr>
          <w:ilvl w:val="0"/>
          <w:numId w:val="9"/>
        </w:numPr>
        <w:ind w:left="567" w:hanging="567"/>
        <w:rPr>
          <w:rFonts w:ascii="Helvetica" w:eastAsiaTheme="minorHAnsi" w:hAnsi="Helvetica" w:cs="Helvetica"/>
        </w:rPr>
      </w:pPr>
      <w:r w:rsidRPr="006229C0">
        <w:rPr>
          <w:rFonts w:ascii="Helvetica" w:eastAsiaTheme="minorHAnsi" w:hAnsi="Helvetica" w:cs="Helvetica"/>
        </w:rPr>
        <w:t xml:space="preserve">New South Wales Food Authority </w:t>
      </w:r>
      <w:r>
        <w:rPr>
          <w:rFonts w:ascii="Helvetica" w:eastAsiaTheme="minorHAnsi" w:hAnsi="Helvetica" w:cs="Helvetica"/>
        </w:rPr>
        <w:t>(NSW FA)</w:t>
      </w:r>
    </w:p>
    <w:p w:rsidR="006229C0" w:rsidRDefault="006229C0" w:rsidP="006229C0">
      <w:pPr>
        <w:pStyle w:val="FSBullet1"/>
        <w:numPr>
          <w:ilvl w:val="0"/>
          <w:numId w:val="9"/>
        </w:numPr>
        <w:ind w:left="567" w:hanging="567"/>
        <w:rPr>
          <w:rFonts w:ascii="Helvetica" w:eastAsiaTheme="minorHAnsi" w:hAnsi="Helvetica" w:cs="Helvetica"/>
        </w:rPr>
      </w:pPr>
      <w:r w:rsidRPr="006229C0">
        <w:rPr>
          <w:rFonts w:ascii="Helvetica" w:eastAsiaTheme="minorHAnsi" w:hAnsi="Helvetica" w:cs="Helvetica"/>
        </w:rPr>
        <w:t>South Australia Department of Health (SA Health)</w:t>
      </w:r>
    </w:p>
    <w:p w:rsidR="00100200" w:rsidRDefault="00100200" w:rsidP="00100200">
      <w:pPr>
        <w:pStyle w:val="FSBullet1"/>
        <w:numPr>
          <w:ilvl w:val="0"/>
          <w:numId w:val="9"/>
        </w:numPr>
        <w:ind w:left="567" w:hanging="567"/>
        <w:rPr>
          <w:rFonts w:ascii="Helvetica" w:eastAsiaTheme="minorHAnsi" w:hAnsi="Helvetica" w:cs="Helvetica"/>
        </w:rPr>
      </w:pPr>
      <w:r w:rsidRPr="00100200">
        <w:rPr>
          <w:rFonts w:ascii="Helvetica" w:eastAsiaTheme="minorHAnsi" w:hAnsi="Helvetica" w:cs="Helvetica"/>
        </w:rPr>
        <w:t xml:space="preserve">Institute of Food, Nutrition and Human Health, Massey University </w:t>
      </w:r>
      <w:r>
        <w:rPr>
          <w:rFonts w:ascii="Helvetica" w:eastAsiaTheme="minorHAnsi" w:hAnsi="Helvetica" w:cs="Helvetica"/>
        </w:rPr>
        <w:t>(Massey Uni)</w:t>
      </w:r>
    </w:p>
    <w:p w:rsidR="00100200" w:rsidRPr="00100200" w:rsidRDefault="00100200" w:rsidP="00100200">
      <w:pPr>
        <w:pStyle w:val="FSBullet1"/>
        <w:numPr>
          <w:ilvl w:val="0"/>
          <w:numId w:val="9"/>
        </w:numPr>
        <w:ind w:left="567" w:hanging="567"/>
        <w:rPr>
          <w:rFonts w:ascii="Helvetica" w:eastAsiaTheme="minorHAnsi" w:hAnsi="Helvetica" w:cs="Helvetica"/>
        </w:rPr>
      </w:pPr>
      <w:r w:rsidRPr="00100200">
        <w:rPr>
          <w:rFonts w:ascii="Helvetica" w:eastAsiaTheme="minorHAnsi" w:hAnsi="Helvetica" w:cs="Helvetica"/>
        </w:rPr>
        <w:t>Royal Children’s Hospital, Melbourne</w:t>
      </w:r>
      <w:r>
        <w:rPr>
          <w:rFonts w:ascii="Helvetica" w:eastAsiaTheme="minorHAnsi" w:hAnsi="Helvetica" w:cs="Helvetica"/>
        </w:rPr>
        <w:t xml:space="preserve"> (RCH, Melbourne)</w:t>
      </w:r>
    </w:p>
    <w:p w:rsidR="00B27E77" w:rsidRDefault="00B27E77" w:rsidP="00B27E77"/>
    <w:p w:rsidR="00F96B80" w:rsidRDefault="00F96B80" w:rsidP="00B27E77">
      <w:r>
        <w:br w:type="page"/>
      </w:r>
    </w:p>
    <w:tbl>
      <w:tblPr>
        <w:tblW w:w="140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8"/>
        <w:gridCol w:w="1890"/>
        <w:gridCol w:w="4500"/>
      </w:tblGrid>
      <w:tr w:rsidR="000C7E7A" w:rsidRPr="00F657B4" w:rsidTr="0090493B">
        <w:trPr>
          <w:cantSplit/>
          <w:tblHeader/>
        </w:trPr>
        <w:tc>
          <w:tcPr>
            <w:tcW w:w="7668" w:type="dxa"/>
            <w:tcBorders>
              <w:top w:val="single" w:sz="8" w:space="0" w:color="B3CC82"/>
              <w:left w:val="single" w:sz="8" w:space="0" w:color="B3CC82"/>
              <w:bottom w:val="single" w:sz="8" w:space="0" w:color="B3CC82"/>
              <w:right w:val="nil"/>
            </w:tcBorders>
            <w:shd w:val="clear" w:color="auto" w:fill="9BBB59"/>
          </w:tcPr>
          <w:p w:rsidR="000C7E7A" w:rsidRPr="00F657B4" w:rsidRDefault="000C7E7A" w:rsidP="00CD23B8">
            <w:pPr>
              <w:spacing w:after="240"/>
              <w:rPr>
                <w:rFonts w:cs="Arial"/>
                <w:b/>
                <w:bCs/>
                <w:color w:val="FFFFFF"/>
              </w:rPr>
            </w:pPr>
            <w:r w:rsidRPr="00F657B4">
              <w:rPr>
                <w:rFonts w:cs="Arial"/>
                <w:b/>
                <w:bCs/>
                <w:color w:val="FFFFFF"/>
              </w:rPr>
              <w:lastRenderedPageBreak/>
              <w:t>Issue</w:t>
            </w:r>
          </w:p>
        </w:tc>
        <w:tc>
          <w:tcPr>
            <w:tcW w:w="1890" w:type="dxa"/>
            <w:tcBorders>
              <w:top w:val="single" w:sz="8" w:space="0" w:color="B3CC82"/>
              <w:left w:val="nil"/>
              <w:bottom w:val="single" w:sz="8" w:space="0" w:color="B3CC82"/>
              <w:right w:val="nil"/>
            </w:tcBorders>
            <w:shd w:val="clear" w:color="auto" w:fill="9BBB59"/>
          </w:tcPr>
          <w:p w:rsidR="000C7E7A" w:rsidRPr="00F657B4" w:rsidRDefault="000C7E7A" w:rsidP="00CD23B8">
            <w:pPr>
              <w:spacing w:after="240"/>
              <w:rPr>
                <w:rFonts w:cs="Arial"/>
                <w:b/>
                <w:bCs/>
                <w:color w:val="FFFFFF"/>
              </w:rPr>
            </w:pPr>
            <w:r w:rsidRPr="00F657B4">
              <w:rPr>
                <w:rFonts w:cs="Arial"/>
                <w:b/>
                <w:bCs/>
                <w:color w:val="FFFFFF"/>
              </w:rPr>
              <w:t>Raised by</w:t>
            </w:r>
          </w:p>
        </w:tc>
        <w:tc>
          <w:tcPr>
            <w:tcW w:w="4500" w:type="dxa"/>
            <w:tcBorders>
              <w:top w:val="single" w:sz="8" w:space="0" w:color="B3CC82"/>
              <w:left w:val="nil"/>
              <w:bottom w:val="single" w:sz="8" w:space="0" w:color="B3CC82"/>
              <w:right w:val="single" w:sz="8" w:space="0" w:color="B3CC82"/>
            </w:tcBorders>
            <w:shd w:val="clear" w:color="auto" w:fill="9BBB59"/>
          </w:tcPr>
          <w:p w:rsidR="000C7E7A" w:rsidRPr="00F657B4" w:rsidRDefault="000C7E7A" w:rsidP="00CD23B8">
            <w:pPr>
              <w:spacing w:after="240"/>
              <w:rPr>
                <w:rFonts w:cs="Arial"/>
                <w:b/>
                <w:bCs/>
                <w:color w:val="FFFFFF"/>
              </w:rPr>
            </w:pPr>
            <w:r w:rsidRPr="00F657B4">
              <w:rPr>
                <w:rFonts w:cs="Arial"/>
                <w:b/>
                <w:bCs/>
                <w:color w:val="FFFFFF"/>
              </w:rPr>
              <w:t>FSANZ Response</w:t>
            </w:r>
          </w:p>
        </w:tc>
      </w:tr>
      <w:tr w:rsidR="000C7E7A" w:rsidRPr="00F657B4" w:rsidTr="0090493B">
        <w:trPr>
          <w:cantSplit/>
        </w:trPr>
        <w:tc>
          <w:tcPr>
            <w:tcW w:w="7668" w:type="dxa"/>
            <w:tcBorders>
              <w:right w:val="nil"/>
            </w:tcBorders>
            <w:shd w:val="clear" w:color="auto" w:fill="E6EED5"/>
          </w:tcPr>
          <w:p w:rsidR="000C7E7A" w:rsidRPr="006D4014" w:rsidRDefault="000C7E7A" w:rsidP="00CD23B8">
            <w:pPr>
              <w:pStyle w:val="BodyTextIndent"/>
              <w:spacing w:before="120"/>
              <w:ind w:left="0"/>
              <w:rPr>
                <w:rFonts w:cs="Arial"/>
                <w:b/>
                <w:i/>
                <w:sz w:val="20"/>
                <w:szCs w:val="20"/>
              </w:rPr>
            </w:pPr>
            <w:r w:rsidRPr="006D4014">
              <w:rPr>
                <w:rFonts w:cs="Arial"/>
                <w:b/>
                <w:i/>
                <w:sz w:val="20"/>
                <w:szCs w:val="20"/>
              </w:rPr>
              <w:t>Allergy/Evidence</w:t>
            </w:r>
          </w:p>
          <w:p w:rsidR="004F07DC" w:rsidRDefault="000C7E7A" w:rsidP="004F07DC">
            <w:pPr>
              <w:pStyle w:val="BodyTextIndent"/>
              <w:numPr>
                <w:ilvl w:val="0"/>
                <w:numId w:val="11"/>
              </w:numPr>
              <w:spacing w:before="120"/>
              <w:ind w:left="318" w:hanging="284"/>
              <w:rPr>
                <w:rFonts w:cs="Arial"/>
                <w:sz w:val="20"/>
                <w:szCs w:val="20"/>
              </w:rPr>
            </w:pPr>
            <w:r w:rsidRPr="006D4014">
              <w:rPr>
                <w:rFonts w:cs="Arial"/>
                <w:sz w:val="20"/>
                <w:szCs w:val="20"/>
              </w:rPr>
              <w:t>New evidence available regarding allergies</w:t>
            </w:r>
            <w:r w:rsidR="004F07DC">
              <w:rPr>
                <w:rFonts w:cs="Arial"/>
                <w:sz w:val="20"/>
                <w:szCs w:val="20"/>
              </w:rPr>
              <w:t xml:space="preserve"> suggest </w:t>
            </w:r>
            <w:r w:rsidR="004F07DC" w:rsidRPr="004F07DC">
              <w:rPr>
                <w:rFonts w:cs="Arial"/>
                <w:sz w:val="20"/>
                <w:szCs w:val="20"/>
              </w:rPr>
              <w:t>that delaying the introduction of complementary foods to six months or later may increase the risk of food allergy</w:t>
            </w:r>
            <w:r w:rsidRPr="004F07DC">
              <w:rPr>
                <w:rFonts w:cs="Arial"/>
                <w:sz w:val="20"/>
                <w:szCs w:val="20"/>
              </w:rPr>
              <w:t xml:space="preserve">. </w:t>
            </w:r>
          </w:p>
          <w:p w:rsidR="00236875" w:rsidRDefault="004F07DC" w:rsidP="00A20C72">
            <w:pPr>
              <w:pStyle w:val="BodyTextIndent"/>
              <w:numPr>
                <w:ilvl w:val="0"/>
                <w:numId w:val="11"/>
              </w:numPr>
              <w:spacing w:before="120"/>
              <w:ind w:left="318" w:hanging="284"/>
              <w:rPr>
                <w:rFonts w:cs="Arial"/>
                <w:sz w:val="20"/>
                <w:szCs w:val="20"/>
              </w:rPr>
            </w:pPr>
            <w:r w:rsidRPr="00236875">
              <w:rPr>
                <w:rFonts w:cs="Arial"/>
                <w:sz w:val="20"/>
                <w:szCs w:val="20"/>
              </w:rPr>
              <w:t>In considering the role of diet in development of allergic disease, e</w:t>
            </w:r>
            <w:r w:rsidR="000C7E7A" w:rsidRPr="00236875">
              <w:rPr>
                <w:rFonts w:cs="Arial"/>
                <w:sz w:val="20"/>
                <w:szCs w:val="20"/>
              </w:rPr>
              <w:t xml:space="preserve">xpert groups consider there is no evidence to support delaying introduction of solids beyond 4-6 months of age. Current available literature would support retaining current labelling practices. </w:t>
            </w:r>
          </w:p>
          <w:p w:rsidR="000C7E7A" w:rsidRDefault="000C7E7A" w:rsidP="00A20C72">
            <w:pPr>
              <w:pStyle w:val="BodyTextIndent"/>
              <w:numPr>
                <w:ilvl w:val="0"/>
                <w:numId w:val="11"/>
              </w:numPr>
              <w:spacing w:before="120"/>
              <w:ind w:left="318" w:hanging="284"/>
              <w:rPr>
                <w:rFonts w:cs="Arial"/>
                <w:sz w:val="20"/>
                <w:szCs w:val="20"/>
              </w:rPr>
            </w:pPr>
            <w:r w:rsidRPr="006D4014">
              <w:rPr>
                <w:rFonts w:cs="Arial"/>
                <w:sz w:val="20"/>
                <w:szCs w:val="20"/>
              </w:rPr>
              <w:t xml:space="preserve">In light of emerging evidence in the allergy field, believe the proposed ‘around 6 months’ for the introduction of solids will pose an increased health risk to infants – so is not in line with FSANZ objective of protecting health and safety. </w:t>
            </w:r>
          </w:p>
          <w:p w:rsidR="006229C0" w:rsidRDefault="000C7E7A" w:rsidP="00A20C72">
            <w:pPr>
              <w:pStyle w:val="BodyTextIndent"/>
              <w:numPr>
                <w:ilvl w:val="0"/>
                <w:numId w:val="11"/>
              </w:numPr>
              <w:spacing w:before="120"/>
              <w:ind w:left="318" w:hanging="284"/>
              <w:rPr>
                <w:rFonts w:cs="Arial"/>
                <w:sz w:val="20"/>
                <w:szCs w:val="20"/>
              </w:rPr>
            </w:pPr>
            <w:r w:rsidRPr="006D4014">
              <w:rPr>
                <w:rFonts w:cs="Arial"/>
                <w:sz w:val="20"/>
                <w:szCs w:val="20"/>
              </w:rPr>
              <w:t xml:space="preserve">The evidence for a ‘window’ (for reducing risk of allergy) is not yet conclusive. </w:t>
            </w:r>
          </w:p>
          <w:p w:rsidR="00D04BA5" w:rsidRPr="00137F55" w:rsidRDefault="000C7E7A" w:rsidP="00137F55">
            <w:pPr>
              <w:pStyle w:val="BodyTextIndent"/>
              <w:numPr>
                <w:ilvl w:val="0"/>
                <w:numId w:val="11"/>
              </w:numPr>
              <w:spacing w:before="120"/>
              <w:ind w:left="318" w:hanging="284"/>
              <w:rPr>
                <w:rFonts w:cs="Arial"/>
                <w:b/>
                <w:bCs/>
                <w:sz w:val="20"/>
                <w:szCs w:val="20"/>
              </w:rPr>
            </w:pPr>
            <w:r w:rsidRPr="006D4014">
              <w:rPr>
                <w:rFonts w:cs="Arial"/>
                <w:sz w:val="20"/>
                <w:szCs w:val="20"/>
              </w:rPr>
              <w:t>Studies quoted refer to delaying allergens, not all solids, beyond 7 months. Current guidelines recommend delaying allergenic foods until 8-12 months (NHMRC 2003) so changing labelling to ‘around 6 months’ will have no bearing on these allergens</w:t>
            </w:r>
            <w:r>
              <w:rPr>
                <w:rFonts w:cs="Arial"/>
                <w:sz w:val="20"/>
                <w:szCs w:val="20"/>
              </w:rPr>
              <w:t>.</w:t>
            </w:r>
          </w:p>
          <w:p w:rsidR="00137F55" w:rsidRDefault="00137F55" w:rsidP="00137F55">
            <w:pPr>
              <w:pStyle w:val="BodyTextIndent"/>
              <w:numPr>
                <w:ilvl w:val="0"/>
                <w:numId w:val="11"/>
              </w:numPr>
              <w:spacing w:before="120"/>
              <w:ind w:left="318" w:hanging="284"/>
              <w:rPr>
                <w:rFonts w:cs="Arial"/>
                <w:sz w:val="20"/>
                <w:szCs w:val="20"/>
              </w:rPr>
            </w:pPr>
            <w:r>
              <w:rPr>
                <w:rFonts w:cs="Arial"/>
                <w:sz w:val="20"/>
                <w:szCs w:val="20"/>
              </w:rPr>
              <w:t xml:space="preserve">Further studies </w:t>
            </w:r>
            <w:r w:rsidRPr="004F07DC">
              <w:rPr>
                <w:rFonts w:cs="Arial"/>
                <w:sz w:val="20"/>
                <w:szCs w:val="20"/>
              </w:rPr>
              <w:t xml:space="preserve">concerning the recommended age for solids to reduce the risk of allergic disease </w:t>
            </w:r>
            <w:r>
              <w:rPr>
                <w:rFonts w:cs="Arial"/>
                <w:sz w:val="20"/>
                <w:szCs w:val="20"/>
              </w:rPr>
              <w:t xml:space="preserve">need to be </w:t>
            </w:r>
            <w:r w:rsidRPr="004F07DC">
              <w:rPr>
                <w:rFonts w:cs="Arial"/>
                <w:sz w:val="20"/>
                <w:szCs w:val="20"/>
              </w:rPr>
              <w:t>undertaken and reported</w:t>
            </w:r>
            <w:r>
              <w:rPr>
                <w:rFonts w:cs="Arial"/>
                <w:sz w:val="20"/>
                <w:szCs w:val="20"/>
              </w:rPr>
              <w:t xml:space="preserve"> to support and change to the </w:t>
            </w:r>
            <w:r w:rsidRPr="004F07DC">
              <w:rPr>
                <w:rFonts w:cs="Arial"/>
                <w:sz w:val="20"/>
                <w:szCs w:val="20"/>
              </w:rPr>
              <w:t>status quo</w:t>
            </w:r>
            <w:r>
              <w:rPr>
                <w:rFonts w:cs="Arial"/>
                <w:sz w:val="20"/>
                <w:szCs w:val="20"/>
              </w:rPr>
              <w:t xml:space="preserve">. </w:t>
            </w:r>
          </w:p>
          <w:p w:rsidR="00A60A79" w:rsidRPr="00137F55" w:rsidRDefault="00A60A79" w:rsidP="00391E6A">
            <w:pPr>
              <w:pStyle w:val="BodyTextIndent"/>
              <w:numPr>
                <w:ilvl w:val="0"/>
                <w:numId w:val="11"/>
              </w:numPr>
              <w:spacing w:before="120" w:after="0"/>
              <w:ind w:left="318" w:hanging="284"/>
              <w:rPr>
                <w:rFonts w:cs="Arial"/>
                <w:sz w:val="20"/>
                <w:szCs w:val="20"/>
              </w:rPr>
            </w:pPr>
            <w:r>
              <w:rPr>
                <w:rFonts w:cs="Arial"/>
                <w:sz w:val="20"/>
                <w:szCs w:val="20"/>
              </w:rPr>
              <w:t>Considers there is little evidence on age of introduction of solids in formula fed infants</w:t>
            </w:r>
          </w:p>
        </w:tc>
        <w:tc>
          <w:tcPr>
            <w:tcW w:w="1890" w:type="dxa"/>
            <w:tcBorders>
              <w:left w:val="nil"/>
              <w:right w:val="nil"/>
            </w:tcBorders>
            <w:shd w:val="clear" w:color="auto" w:fill="E6EED5"/>
          </w:tcPr>
          <w:p w:rsidR="000C7E7A" w:rsidRDefault="000C7E7A" w:rsidP="000201B7">
            <w:pPr>
              <w:jc w:val="center"/>
              <w:rPr>
                <w:rFonts w:cs="Arial"/>
                <w:sz w:val="20"/>
                <w:szCs w:val="20"/>
              </w:rPr>
            </w:pPr>
          </w:p>
          <w:p w:rsidR="000201B7" w:rsidRDefault="000201B7" w:rsidP="000201B7">
            <w:pPr>
              <w:jc w:val="center"/>
              <w:rPr>
                <w:rFonts w:cs="Arial"/>
                <w:sz w:val="20"/>
                <w:szCs w:val="20"/>
              </w:rPr>
            </w:pPr>
          </w:p>
          <w:p w:rsidR="004F07DC" w:rsidRDefault="004F07DC" w:rsidP="004F07DC">
            <w:pPr>
              <w:jc w:val="center"/>
              <w:rPr>
                <w:rFonts w:cs="Arial"/>
                <w:sz w:val="20"/>
                <w:szCs w:val="20"/>
              </w:rPr>
            </w:pPr>
            <w:r w:rsidRPr="00F657B4">
              <w:rPr>
                <w:rFonts w:cs="Arial"/>
                <w:sz w:val="20"/>
                <w:szCs w:val="20"/>
              </w:rPr>
              <w:t>DAA</w:t>
            </w:r>
            <w:r w:rsidR="00236875">
              <w:rPr>
                <w:rFonts w:cs="Arial"/>
                <w:sz w:val="20"/>
                <w:szCs w:val="20"/>
              </w:rPr>
              <w:t>,</w:t>
            </w:r>
            <w:r w:rsidRPr="00F657B4">
              <w:rPr>
                <w:rFonts w:cs="Arial"/>
                <w:sz w:val="20"/>
                <w:szCs w:val="20"/>
              </w:rPr>
              <w:t xml:space="preserve"> AFGC</w:t>
            </w:r>
            <w:r w:rsidR="00100200">
              <w:rPr>
                <w:rFonts w:cs="Arial"/>
                <w:sz w:val="20"/>
                <w:szCs w:val="20"/>
              </w:rPr>
              <w:t>, ASCIA</w:t>
            </w:r>
            <w:r w:rsidR="00552821">
              <w:rPr>
                <w:rFonts w:cs="Arial"/>
                <w:sz w:val="20"/>
                <w:szCs w:val="20"/>
              </w:rPr>
              <w:t>, Heinz</w:t>
            </w:r>
            <w:r w:rsidRPr="00F657B4">
              <w:rPr>
                <w:rFonts w:cs="Arial"/>
                <w:sz w:val="20"/>
                <w:szCs w:val="20"/>
              </w:rPr>
              <w:t xml:space="preserve"> </w:t>
            </w:r>
          </w:p>
          <w:p w:rsidR="00100200" w:rsidRPr="00F657B4" w:rsidRDefault="00100200" w:rsidP="00100200">
            <w:pPr>
              <w:rPr>
                <w:rFonts w:cs="Arial"/>
                <w:sz w:val="20"/>
                <w:szCs w:val="20"/>
              </w:rPr>
            </w:pPr>
          </w:p>
          <w:p w:rsidR="00236875" w:rsidRDefault="00236875" w:rsidP="004F07DC">
            <w:pPr>
              <w:jc w:val="center"/>
              <w:rPr>
                <w:rFonts w:cs="Arial"/>
                <w:sz w:val="20"/>
                <w:szCs w:val="20"/>
              </w:rPr>
            </w:pPr>
          </w:p>
          <w:p w:rsidR="00236875" w:rsidRPr="00F657B4" w:rsidRDefault="004F07DC" w:rsidP="00236875">
            <w:pPr>
              <w:jc w:val="center"/>
              <w:rPr>
                <w:rFonts w:cs="Arial"/>
                <w:sz w:val="20"/>
                <w:szCs w:val="20"/>
              </w:rPr>
            </w:pPr>
            <w:r w:rsidRPr="00F657B4">
              <w:rPr>
                <w:rFonts w:cs="Arial"/>
                <w:sz w:val="20"/>
                <w:szCs w:val="20"/>
              </w:rPr>
              <w:t>ASCIA,</w:t>
            </w:r>
            <w:r w:rsidR="00236875" w:rsidRPr="00F657B4">
              <w:rPr>
                <w:rFonts w:cs="Arial"/>
                <w:sz w:val="20"/>
                <w:szCs w:val="20"/>
              </w:rPr>
              <w:t xml:space="preserve"> H</w:t>
            </w:r>
            <w:r w:rsidR="00236875">
              <w:rPr>
                <w:rFonts w:cs="Arial"/>
                <w:sz w:val="20"/>
                <w:szCs w:val="20"/>
              </w:rPr>
              <w:t>einz</w:t>
            </w:r>
            <w:r w:rsidR="00236875" w:rsidRPr="00F657B4">
              <w:rPr>
                <w:rFonts w:cs="Arial"/>
                <w:sz w:val="20"/>
                <w:szCs w:val="20"/>
              </w:rPr>
              <w:t>,</w:t>
            </w:r>
          </w:p>
          <w:p w:rsidR="004F07DC" w:rsidRPr="00F657B4" w:rsidRDefault="004F07DC" w:rsidP="004F07DC">
            <w:pPr>
              <w:jc w:val="center"/>
              <w:rPr>
                <w:rFonts w:cs="Arial"/>
                <w:sz w:val="20"/>
                <w:szCs w:val="20"/>
              </w:rPr>
            </w:pPr>
          </w:p>
          <w:p w:rsidR="000C7E7A" w:rsidRDefault="000C7E7A" w:rsidP="004F07DC">
            <w:pPr>
              <w:jc w:val="center"/>
              <w:rPr>
                <w:rFonts w:cs="Arial"/>
                <w:sz w:val="20"/>
                <w:szCs w:val="20"/>
              </w:rPr>
            </w:pPr>
          </w:p>
          <w:p w:rsidR="00044EC6" w:rsidRDefault="00044EC6" w:rsidP="004F07DC">
            <w:pPr>
              <w:jc w:val="center"/>
              <w:rPr>
                <w:rFonts w:cs="Arial"/>
                <w:sz w:val="20"/>
                <w:szCs w:val="20"/>
              </w:rPr>
            </w:pPr>
          </w:p>
          <w:p w:rsidR="00044EC6" w:rsidRPr="00F657B4" w:rsidRDefault="00044EC6" w:rsidP="004F07DC">
            <w:pPr>
              <w:jc w:val="center"/>
              <w:rPr>
                <w:rFonts w:cs="Arial"/>
                <w:sz w:val="20"/>
                <w:szCs w:val="20"/>
              </w:rPr>
            </w:pPr>
          </w:p>
          <w:p w:rsidR="00236875" w:rsidRPr="00F657B4" w:rsidRDefault="00D04BA5" w:rsidP="00D501DC">
            <w:pPr>
              <w:tabs>
                <w:tab w:val="left" w:pos="495"/>
                <w:tab w:val="center" w:pos="837"/>
              </w:tabs>
              <w:spacing w:before="120"/>
              <w:rPr>
                <w:rFonts w:cs="Arial"/>
                <w:sz w:val="20"/>
                <w:szCs w:val="20"/>
              </w:rPr>
            </w:pPr>
            <w:r>
              <w:rPr>
                <w:rFonts w:cs="Arial"/>
                <w:sz w:val="20"/>
                <w:szCs w:val="20"/>
              </w:rPr>
              <w:tab/>
            </w:r>
            <w:r w:rsidR="00236875" w:rsidRPr="00F657B4">
              <w:rPr>
                <w:rFonts w:cs="Arial"/>
                <w:sz w:val="20"/>
                <w:szCs w:val="20"/>
              </w:rPr>
              <w:t>Nestl</w:t>
            </w:r>
            <w:r w:rsidR="00236875">
              <w:rPr>
                <w:rFonts w:cs="Arial"/>
                <w:sz w:val="20"/>
                <w:szCs w:val="20"/>
              </w:rPr>
              <w:t>é</w:t>
            </w:r>
          </w:p>
          <w:p w:rsidR="004F07DC" w:rsidRDefault="004F07DC" w:rsidP="000201B7">
            <w:pPr>
              <w:jc w:val="center"/>
              <w:rPr>
                <w:rFonts w:cs="Arial"/>
                <w:sz w:val="20"/>
                <w:szCs w:val="20"/>
              </w:rPr>
            </w:pPr>
          </w:p>
          <w:p w:rsidR="000C7E7A" w:rsidRPr="00F657B4" w:rsidRDefault="004F07DC" w:rsidP="00D04BA5">
            <w:pPr>
              <w:spacing w:before="120"/>
              <w:jc w:val="center"/>
              <w:rPr>
                <w:rFonts w:cs="Arial"/>
                <w:sz w:val="20"/>
                <w:szCs w:val="20"/>
              </w:rPr>
            </w:pPr>
            <w:r>
              <w:rPr>
                <w:rFonts w:cs="Arial"/>
                <w:sz w:val="20"/>
                <w:szCs w:val="20"/>
              </w:rPr>
              <w:t>T</w:t>
            </w:r>
            <w:r w:rsidR="000C7E7A" w:rsidRPr="00F657B4">
              <w:rPr>
                <w:rFonts w:cs="Arial"/>
                <w:sz w:val="20"/>
                <w:szCs w:val="20"/>
              </w:rPr>
              <w:t>asma</w:t>
            </w:r>
            <w:r w:rsidR="00100200">
              <w:rPr>
                <w:rFonts w:cs="Arial"/>
                <w:sz w:val="20"/>
                <w:szCs w:val="20"/>
              </w:rPr>
              <w:t>n</w:t>
            </w:r>
            <w:r w:rsidR="000C7E7A" w:rsidRPr="00F657B4">
              <w:rPr>
                <w:rFonts w:cs="Arial"/>
                <w:sz w:val="20"/>
                <w:szCs w:val="20"/>
              </w:rPr>
              <w:t>ia</w:t>
            </w:r>
            <w:r w:rsidR="000201B7">
              <w:rPr>
                <w:rFonts w:cs="Arial"/>
                <w:sz w:val="20"/>
                <w:szCs w:val="20"/>
              </w:rPr>
              <w:t xml:space="preserve"> DHS</w:t>
            </w:r>
          </w:p>
          <w:p w:rsidR="000C7E7A" w:rsidRPr="00F657B4" w:rsidRDefault="000C7E7A" w:rsidP="000201B7">
            <w:pPr>
              <w:jc w:val="center"/>
              <w:rPr>
                <w:rFonts w:cs="Arial"/>
                <w:sz w:val="20"/>
                <w:szCs w:val="20"/>
              </w:rPr>
            </w:pPr>
          </w:p>
          <w:p w:rsidR="000C7E7A" w:rsidRDefault="000C7E7A" w:rsidP="000201B7">
            <w:pPr>
              <w:jc w:val="center"/>
              <w:rPr>
                <w:rFonts w:cs="Arial"/>
                <w:sz w:val="20"/>
                <w:szCs w:val="20"/>
              </w:rPr>
            </w:pPr>
            <w:r>
              <w:rPr>
                <w:rFonts w:cs="Arial"/>
                <w:sz w:val="20"/>
                <w:szCs w:val="20"/>
              </w:rPr>
              <w:t>Victoria</w:t>
            </w:r>
            <w:r w:rsidR="00D501DC">
              <w:rPr>
                <w:rFonts w:cs="Arial"/>
                <w:sz w:val="20"/>
                <w:szCs w:val="20"/>
              </w:rPr>
              <w:t xml:space="preserve"> DHS</w:t>
            </w:r>
          </w:p>
          <w:p w:rsidR="00137F55" w:rsidRDefault="00137F55" w:rsidP="000201B7">
            <w:pPr>
              <w:jc w:val="center"/>
              <w:rPr>
                <w:rFonts w:cs="Arial"/>
                <w:sz w:val="20"/>
                <w:szCs w:val="20"/>
              </w:rPr>
            </w:pPr>
          </w:p>
          <w:p w:rsidR="00044EC6" w:rsidRDefault="00044EC6" w:rsidP="000201B7">
            <w:pPr>
              <w:jc w:val="center"/>
              <w:rPr>
                <w:rFonts w:cs="Arial"/>
                <w:sz w:val="20"/>
                <w:szCs w:val="20"/>
              </w:rPr>
            </w:pPr>
          </w:p>
          <w:p w:rsidR="00137F55" w:rsidRDefault="00137F55" w:rsidP="000201B7">
            <w:pPr>
              <w:jc w:val="center"/>
              <w:rPr>
                <w:rFonts w:cs="Arial"/>
                <w:sz w:val="20"/>
                <w:szCs w:val="20"/>
              </w:rPr>
            </w:pPr>
          </w:p>
          <w:p w:rsidR="00137F55" w:rsidRDefault="00137F55" w:rsidP="00137F55">
            <w:pPr>
              <w:jc w:val="center"/>
              <w:rPr>
                <w:rFonts w:cs="Arial"/>
                <w:sz w:val="20"/>
                <w:szCs w:val="20"/>
              </w:rPr>
            </w:pPr>
            <w:r>
              <w:rPr>
                <w:rFonts w:cs="Arial"/>
                <w:sz w:val="20"/>
                <w:szCs w:val="20"/>
              </w:rPr>
              <w:t xml:space="preserve">AFGC, </w:t>
            </w:r>
            <w:r w:rsidRPr="00F657B4">
              <w:rPr>
                <w:rFonts w:cs="Arial"/>
                <w:sz w:val="20"/>
                <w:szCs w:val="20"/>
              </w:rPr>
              <w:t>FTAA</w:t>
            </w:r>
            <w:r>
              <w:rPr>
                <w:rFonts w:cs="Arial"/>
                <w:sz w:val="20"/>
                <w:szCs w:val="20"/>
              </w:rPr>
              <w:t>, NZDA</w:t>
            </w:r>
            <w:r w:rsidR="00100200">
              <w:rPr>
                <w:rFonts w:cs="Arial"/>
                <w:sz w:val="20"/>
                <w:szCs w:val="20"/>
              </w:rPr>
              <w:t>, QLD Health, SA Health</w:t>
            </w:r>
          </w:p>
          <w:p w:rsidR="00044EC6" w:rsidRDefault="00044EC6" w:rsidP="00137F55">
            <w:pPr>
              <w:jc w:val="center"/>
              <w:rPr>
                <w:rFonts w:cs="Arial"/>
                <w:sz w:val="20"/>
                <w:szCs w:val="20"/>
              </w:rPr>
            </w:pPr>
          </w:p>
          <w:p w:rsidR="00A60A79" w:rsidRPr="00F657B4" w:rsidRDefault="00A60A79" w:rsidP="000201B7">
            <w:pPr>
              <w:jc w:val="center"/>
              <w:rPr>
                <w:rFonts w:cs="Arial"/>
                <w:sz w:val="20"/>
                <w:szCs w:val="20"/>
              </w:rPr>
            </w:pPr>
            <w:r>
              <w:rPr>
                <w:rFonts w:cs="Arial"/>
                <w:sz w:val="20"/>
                <w:szCs w:val="20"/>
              </w:rPr>
              <w:t>Heinz</w:t>
            </w:r>
          </w:p>
        </w:tc>
        <w:tc>
          <w:tcPr>
            <w:tcW w:w="4500" w:type="dxa"/>
            <w:tcBorders>
              <w:left w:val="nil"/>
            </w:tcBorders>
            <w:shd w:val="clear" w:color="auto" w:fill="E6EED5"/>
          </w:tcPr>
          <w:p w:rsidR="000C7E7A" w:rsidRDefault="000C7E7A" w:rsidP="00CD23B8">
            <w:pPr>
              <w:rPr>
                <w:rFonts w:cs="Arial"/>
                <w:sz w:val="20"/>
                <w:szCs w:val="20"/>
              </w:rPr>
            </w:pPr>
          </w:p>
          <w:p w:rsidR="000201B7" w:rsidRDefault="000201B7" w:rsidP="00CD23B8">
            <w:pPr>
              <w:rPr>
                <w:rFonts w:cs="Arial"/>
                <w:sz w:val="20"/>
                <w:szCs w:val="20"/>
              </w:rPr>
            </w:pPr>
          </w:p>
          <w:p w:rsidR="000C7E7A" w:rsidRPr="00F657B4" w:rsidRDefault="000201B7" w:rsidP="00CD23B8">
            <w:pPr>
              <w:rPr>
                <w:rFonts w:cs="Arial"/>
                <w:sz w:val="20"/>
                <w:szCs w:val="20"/>
              </w:rPr>
            </w:pPr>
            <w:r>
              <w:rPr>
                <w:rFonts w:cs="Arial"/>
                <w:sz w:val="20"/>
                <w:szCs w:val="20"/>
              </w:rPr>
              <w:t>F</w:t>
            </w:r>
            <w:r w:rsidR="000C7E7A" w:rsidRPr="00F657B4">
              <w:rPr>
                <w:rFonts w:cs="Arial"/>
                <w:sz w:val="20"/>
                <w:szCs w:val="20"/>
              </w:rPr>
              <w:t xml:space="preserve">ollowing PFAR, FSANZ put P274 on hold – as we expected that NHMRC would consider the age of introduction of solid foods to infants in relation to the emerging evidence around the impact on allergies. The NHMRC reviewed evidence up until 2008. </w:t>
            </w:r>
          </w:p>
          <w:p w:rsidR="000C7E7A" w:rsidRPr="00F657B4" w:rsidRDefault="000C7E7A" w:rsidP="00CD23B8">
            <w:pPr>
              <w:rPr>
                <w:rFonts w:cs="Arial"/>
                <w:sz w:val="20"/>
                <w:szCs w:val="20"/>
              </w:rPr>
            </w:pPr>
          </w:p>
          <w:p w:rsidR="000C7E7A" w:rsidRPr="00F657B4" w:rsidRDefault="000C7E7A" w:rsidP="00CD23B8">
            <w:pPr>
              <w:rPr>
                <w:rFonts w:cs="Arial"/>
                <w:sz w:val="20"/>
                <w:szCs w:val="20"/>
              </w:rPr>
            </w:pPr>
            <w:r w:rsidRPr="00F657B4">
              <w:rPr>
                <w:rFonts w:cs="Arial"/>
                <w:sz w:val="20"/>
                <w:szCs w:val="20"/>
              </w:rPr>
              <w:t>FSANZ has now reviewed literature on this issue since 2008. An updated risk assessment is provided in SD1.</w:t>
            </w:r>
          </w:p>
          <w:p w:rsidR="000C7E7A" w:rsidRPr="00F657B4" w:rsidRDefault="000C7E7A" w:rsidP="00CD23B8">
            <w:pPr>
              <w:rPr>
                <w:rFonts w:cs="Arial"/>
                <w:sz w:val="20"/>
                <w:szCs w:val="20"/>
              </w:rPr>
            </w:pPr>
          </w:p>
          <w:p w:rsidR="000C7E7A" w:rsidRPr="00F657B4" w:rsidRDefault="000C7E7A" w:rsidP="00CD23B8">
            <w:pPr>
              <w:rPr>
                <w:rFonts w:cs="Arial"/>
                <w:sz w:val="20"/>
                <w:szCs w:val="20"/>
              </w:rPr>
            </w:pPr>
          </w:p>
        </w:tc>
      </w:tr>
      <w:tr w:rsidR="000C7E7A" w:rsidRPr="00F657B4" w:rsidTr="0090493B">
        <w:trPr>
          <w:cantSplit/>
        </w:trPr>
        <w:tc>
          <w:tcPr>
            <w:tcW w:w="7668" w:type="dxa"/>
            <w:tcBorders>
              <w:right w:val="nil"/>
            </w:tcBorders>
          </w:tcPr>
          <w:p w:rsidR="000C7E7A" w:rsidRPr="005C7B39" w:rsidRDefault="000C7E7A" w:rsidP="00CD23B8">
            <w:pPr>
              <w:pStyle w:val="BodyTextIndent"/>
              <w:spacing w:before="120"/>
              <w:ind w:left="0"/>
              <w:rPr>
                <w:rFonts w:cs="Arial"/>
                <w:b/>
                <w:i/>
                <w:sz w:val="20"/>
                <w:szCs w:val="20"/>
              </w:rPr>
            </w:pPr>
            <w:r w:rsidRPr="005C7B39">
              <w:rPr>
                <w:rFonts w:cs="Arial"/>
                <w:b/>
                <w:i/>
                <w:sz w:val="20"/>
                <w:szCs w:val="20"/>
              </w:rPr>
              <w:t>National recommendations and consistency of information</w:t>
            </w:r>
          </w:p>
          <w:p w:rsidR="000C7E7A" w:rsidRPr="005C7B39" w:rsidRDefault="000C7E7A" w:rsidP="00CD23B8">
            <w:pPr>
              <w:pStyle w:val="BodyTextIndent"/>
              <w:spacing w:before="120"/>
              <w:ind w:left="0"/>
              <w:rPr>
                <w:rFonts w:cs="Arial"/>
                <w:sz w:val="20"/>
                <w:szCs w:val="20"/>
              </w:rPr>
            </w:pPr>
            <w:r w:rsidRPr="005C7B39">
              <w:rPr>
                <w:rFonts w:cs="Arial"/>
                <w:sz w:val="20"/>
                <w:szCs w:val="20"/>
              </w:rPr>
              <w:t>The information on food labels should be consistent with current infant feeding recommendations/ guidelines.</w:t>
            </w:r>
            <w:r w:rsidR="00100200">
              <w:rPr>
                <w:rFonts w:cs="Arial"/>
                <w:sz w:val="20"/>
                <w:szCs w:val="20"/>
              </w:rPr>
              <w:t xml:space="preserve"> Parents and health professionals main concern in seeking nutrition advice is consistency of message. </w:t>
            </w:r>
          </w:p>
          <w:p w:rsidR="00A20C72" w:rsidRDefault="00A20C72" w:rsidP="006578AB">
            <w:pPr>
              <w:pStyle w:val="BodyTextIndent"/>
              <w:spacing w:before="120"/>
              <w:ind w:left="0"/>
              <w:rPr>
                <w:rFonts w:cs="Arial"/>
                <w:sz w:val="20"/>
                <w:szCs w:val="20"/>
              </w:rPr>
            </w:pPr>
          </w:p>
          <w:p w:rsidR="00236875" w:rsidRPr="00236875" w:rsidRDefault="00236875" w:rsidP="00236875">
            <w:pPr>
              <w:autoSpaceDE w:val="0"/>
              <w:autoSpaceDN w:val="0"/>
              <w:adjustRightInd w:val="0"/>
              <w:rPr>
                <w:rFonts w:eastAsiaTheme="minorHAnsi" w:cs="Arial"/>
                <w:sz w:val="20"/>
                <w:szCs w:val="20"/>
                <w:lang w:bidi="ar-SA"/>
              </w:rPr>
            </w:pPr>
            <w:r w:rsidRPr="00236875">
              <w:rPr>
                <w:rFonts w:eastAsiaTheme="minorHAnsi" w:cs="Arial"/>
                <w:sz w:val="20"/>
                <w:szCs w:val="20"/>
                <w:lang w:bidi="ar-SA"/>
              </w:rPr>
              <w:t>Recognises that the Standard is inconsistent with the national feeding guidelines in Australia and New Zealand, however does not consider that this is sufficient argument alone, and in the face of conflicting and contradictory advice on</w:t>
            </w:r>
          </w:p>
          <w:p w:rsidR="00D04BA5" w:rsidRPr="00552821" w:rsidRDefault="00236875" w:rsidP="00552821">
            <w:pPr>
              <w:autoSpaceDE w:val="0"/>
              <w:autoSpaceDN w:val="0"/>
              <w:adjustRightInd w:val="0"/>
              <w:rPr>
                <w:rFonts w:cs="Arial"/>
                <w:sz w:val="20"/>
                <w:szCs w:val="20"/>
              </w:rPr>
            </w:pPr>
            <w:proofErr w:type="gramStart"/>
            <w:r w:rsidRPr="00236875">
              <w:rPr>
                <w:rFonts w:eastAsiaTheme="minorHAnsi" w:cs="Arial"/>
                <w:sz w:val="20"/>
                <w:szCs w:val="20"/>
                <w:lang w:bidi="ar-SA"/>
              </w:rPr>
              <w:t>public</w:t>
            </w:r>
            <w:proofErr w:type="gramEnd"/>
            <w:r w:rsidRPr="00236875">
              <w:rPr>
                <w:rFonts w:eastAsiaTheme="minorHAnsi" w:cs="Arial"/>
                <w:sz w:val="20"/>
                <w:szCs w:val="20"/>
                <w:lang w:bidi="ar-SA"/>
              </w:rPr>
              <w:t xml:space="preserve"> health and safety concerns over delaying the introduction of solids until six months. </w:t>
            </w:r>
            <w:r w:rsidR="000C7E7A" w:rsidRPr="00236875">
              <w:rPr>
                <w:rFonts w:cs="Arial"/>
                <w:sz w:val="20"/>
                <w:szCs w:val="20"/>
              </w:rPr>
              <w:t xml:space="preserve">Rejects the argument that the FSANZ standard must align with the guidelines, as </w:t>
            </w:r>
            <w:r w:rsidR="006578AB" w:rsidRPr="00236875">
              <w:rPr>
                <w:rFonts w:cs="Arial"/>
                <w:sz w:val="20"/>
                <w:szCs w:val="20"/>
              </w:rPr>
              <w:t xml:space="preserve">the </w:t>
            </w:r>
            <w:r w:rsidR="000C7E7A" w:rsidRPr="00236875">
              <w:rPr>
                <w:rFonts w:cs="Arial"/>
                <w:sz w:val="20"/>
                <w:szCs w:val="20"/>
              </w:rPr>
              <w:t>guidelines are flawed.</w:t>
            </w:r>
            <w:r w:rsidRPr="00236875">
              <w:rPr>
                <w:rFonts w:cs="Arial"/>
                <w:sz w:val="20"/>
                <w:szCs w:val="20"/>
              </w:rPr>
              <w:t xml:space="preserve"> </w:t>
            </w:r>
          </w:p>
        </w:tc>
        <w:tc>
          <w:tcPr>
            <w:tcW w:w="1890" w:type="dxa"/>
            <w:tcBorders>
              <w:left w:val="nil"/>
              <w:right w:val="nil"/>
            </w:tcBorders>
          </w:tcPr>
          <w:p w:rsidR="000C7E7A" w:rsidRPr="00F657B4" w:rsidRDefault="000C7E7A" w:rsidP="00CD23B8">
            <w:pPr>
              <w:rPr>
                <w:rFonts w:cs="Arial"/>
                <w:sz w:val="20"/>
                <w:szCs w:val="20"/>
              </w:rPr>
            </w:pPr>
          </w:p>
          <w:p w:rsidR="00A20C72" w:rsidRDefault="00A20C72" w:rsidP="00CD23B8">
            <w:pPr>
              <w:rPr>
                <w:rFonts w:cs="Arial"/>
                <w:sz w:val="20"/>
                <w:szCs w:val="20"/>
              </w:rPr>
            </w:pPr>
          </w:p>
          <w:p w:rsidR="000C7E7A" w:rsidRDefault="00100200" w:rsidP="00D501DC">
            <w:pPr>
              <w:jc w:val="center"/>
              <w:rPr>
                <w:rFonts w:cs="Arial"/>
                <w:sz w:val="20"/>
                <w:szCs w:val="20"/>
              </w:rPr>
            </w:pPr>
            <w:r>
              <w:rPr>
                <w:rFonts w:cs="Arial"/>
                <w:sz w:val="20"/>
                <w:szCs w:val="20"/>
              </w:rPr>
              <w:t>Massey Uni,</w:t>
            </w:r>
            <w:r w:rsidRPr="00F657B4">
              <w:rPr>
                <w:rFonts w:cs="Arial"/>
                <w:sz w:val="20"/>
                <w:szCs w:val="20"/>
              </w:rPr>
              <w:t xml:space="preserve"> RCH</w:t>
            </w:r>
            <w:r>
              <w:rPr>
                <w:rFonts w:cs="Arial"/>
                <w:sz w:val="20"/>
                <w:szCs w:val="20"/>
              </w:rPr>
              <w:t xml:space="preserve"> Melbourne</w:t>
            </w:r>
          </w:p>
          <w:p w:rsidR="000C7E7A" w:rsidRPr="00F657B4" w:rsidRDefault="000C7E7A" w:rsidP="00D501DC">
            <w:pPr>
              <w:jc w:val="center"/>
              <w:rPr>
                <w:rFonts w:cs="Arial"/>
                <w:sz w:val="20"/>
                <w:szCs w:val="20"/>
              </w:rPr>
            </w:pPr>
          </w:p>
          <w:p w:rsidR="00A20C72" w:rsidRDefault="00A20C72" w:rsidP="00D501DC">
            <w:pPr>
              <w:jc w:val="center"/>
              <w:rPr>
                <w:rFonts w:cs="Arial"/>
                <w:sz w:val="20"/>
                <w:szCs w:val="20"/>
              </w:rPr>
            </w:pPr>
          </w:p>
          <w:p w:rsidR="00A20C72" w:rsidRDefault="00A20C72" w:rsidP="00D501DC">
            <w:pPr>
              <w:jc w:val="center"/>
              <w:rPr>
                <w:rFonts w:cs="Arial"/>
                <w:sz w:val="20"/>
                <w:szCs w:val="20"/>
              </w:rPr>
            </w:pPr>
          </w:p>
          <w:p w:rsidR="000C7E7A" w:rsidRPr="00F657B4" w:rsidRDefault="000C7E7A" w:rsidP="00D501DC">
            <w:pPr>
              <w:jc w:val="center"/>
              <w:rPr>
                <w:rFonts w:cs="Arial"/>
                <w:sz w:val="20"/>
                <w:szCs w:val="20"/>
              </w:rPr>
            </w:pPr>
            <w:r w:rsidRPr="00F657B4">
              <w:rPr>
                <w:rFonts w:cs="Arial"/>
                <w:sz w:val="20"/>
                <w:szCs w:val="20"/>
              </w:rPr>
              <w:t>AFGC</w:t>
            </w:r>
          </w:p>
          <w:p w:rsidR="000C7E7A" w:rsidRDefault="000C7E7A" w:rsidP="00CD23B8">
            <w:pPr>
              <w:rPr>
                <w:rFonts w:cs="Arial"/>
                <w:b/>
                <w:bCs/>
                <w:sz w:val="20"/>
                <w:szCs w:val="20"/>
              </w:rPr>
            </w:pPr>
          </w:p>
          <w:p w:rsidR="00D04BA5" w:rsidRDefault="00D04BA5" w:rsidP="00CD23B8">
            <w:pPr>
              <w:rPr>
                <w:rFonts w:cs="Arial"/>
                <w:b/>
                <w:bCs/>
                <w:sz w:val="20"/>
                <w:szCs w:val="20"/>
              </w:rPr>
            </w:pPr>
          </w:p>
          <w:p w:rsidR="00D04BA5" w:rsidRDefault="00D04BA5" w:rsidP="00CD23B8">
            <w:pPr>
              <w:rPr>
                <w:rFonts w:cs="Arial"/>
                <w:b/>
                <w:bCs/>
                <w:sz w:val="20"/>
                <w:szCs w:val="20"/>
              </w:rPr>
            </w:pPr>
          </w:p>
          <w:p w:rsidR="00D04BA5" w:rsidRDefault="00D04BA5" w:rsidP="00CD23B8">
            <w:pPr>
              <w:rPr>
                <w:rFonts w:cs="Arial"/>
                <w:b/>
                <w:bCs/>
                <w:sz w:val="20"/>
                <w:szCs w:val="20"/>
              </w:rPr>
            </w:pPr>
          </w:p>
          <w:p w:rsidR="00D04BA5" w:rsidRPr="00D04BA5" w:rsidRDefault="00D04BA5" w:rsidP="00CD23B8">
            <w:pPr>
              <w:rPr>
                <w:rFonts w:cs="Arial"/>
                <w:bCs/>
                <w:sz w:val="20"/>
                <w:szCs w:val="20"/>
              </w:rPr>
            </w:pPr>
          </w:p>
        </w:tc>
        <w:tc>
          <w:tcPr>
            <w:tcW w:w="4500" w:type="dxa"/>
            <w:tcBorders>
              <w:left w:val="nil"/>
            </w:tcBorders>
          </w:tcPr>
          <w:p w:rsidR="000C7E7A" w:rsidRDefault="000C7E7A" w:rsidP="00CD23B8">
            <w:pPr>
              <w:rPr>
                <w:rFonts w:cs="Arial"/>
                <w:sz w:val="20"/>
                <w:szCs w:val="20"/>
              </w:rPr>
            </w:pPr>
          </w:p>
          <w:p w:rsidR="00A20C72" w:rsidRDefault="00A20C72" w:rsidP="00CD23B8">
            <w:pPr>
              <w:rPr>
                <w:rFonts w:cs="Arial"/>
                <w:sz w:val="20"/>
                <w:szCs w:val="20"/>
              </w:rPr>
            </w:pPr>
          </w:p>
          <w:p w:rsidR="000C7E7A" w:rsidRPr="00F657B4" w:rsidRDefault="000C7E7A" w:rsidP="00CD23B8">
            <w:pPr>
              <w:rPr>
                <w:rFonts w:cs="Arial"/>
                <w:sz w:val="20"/>
                <w:szCs w:val="20"/>
              </w:rPr>
            </w:pPr>
            <w:r w:rsidRPr="00F657B4">
              <w:rPr>
                <w:rFonts w:cs="Arial"/>
                <w:sz w:val="20"/>
                <w:szCs w:val="20"/>
              </w:rPr>
              <w:t xml:space="preserve">A majority of submitters supported aligning with the national infant feeding guidelines, in principle. </w:t>
            </w:r>
          </w:p>
          <w:p w:rsidR="000C7E7A" w:rsidRPr="00F657B4" w:rsidRDefault="000C7E7A" w:rsidP="00CD23B8">
            <w:pPr>
              <w:rPr>
                <w:rFonts w:cs="Arial"/>
                <w:sz w:val="20"/>
                <w:szCs w:val="20"/>
              </w:rPr>
            </w:pPr>
          </w:p>
          <w:p w:rsidR="003D2CBC" w:rsidRDefault="003D2CBC" w:rsidP="006229C0">
            <w:pPr>
              <w:rPr>
                <w:rFonts w:cs="Arial"/>
                <w:sz w:val="20"/>
                <w:szCs w:val="20"/>
                <w:lang w:bidi="ar-SA"/>
              </w:rPr>
            </w:pPr>
          </w:p>
          <w:p w:rsidR="000C7E7A" w:rsidRPr="00F657B4" w:rsidRDefault="000C7E7A" w:rsidP="006229C0">
            <w:pPr>
              <w:rPr>
                <w:rFonts w:cs="Arial"/>
                <w:sz w:val="20"/>
                <w:szCs w:val="20"/>
              </w:rPr>
            </w:pPr>
            <w:r w:rsidRPr="00F657B4">
              <w:rPr>
                <w:rFonts w:cs="Arial"/>
                <w:sz w:val="20"/>
                <w:szCs w:val="20"/>
                <w:lang w:bidi="ar-SA"/>
              </w:rPr>
              <w:t xml:space="preserve">Others supported retaining the current age requirements; some recommended delaying any amendments until further evidence was available regarding the </w:t>
            </w:r>
            <w:r>
              <w:rPr>
                <w:rFonts w:cs="Arial"/>
                <w:sz w:val="20"/>
                <w:szCs w:val="20"/>
                <w:lang w:bidi="ar-SA"/>
              </w:rPr>
              <w:t>optimum time to introduce solid</w:t>
            </w:r>
            <w:r w:rsidRPr="00F657B4">
              <w:rPr>
                <w:rFonts w:cs="Arial"/>
                <w:sz w:val="20"/>
                <w:szCs w:val="20"/>
                <w:lang w:bidi="ar-SA"/>
              </w:rPr>
              <w:t xml:space="preserve">s.   </w:t>
            </w:r>
          </w:p>
        </w:tc>
      </w:tr>
      <w:tr w:rsidR="000C7E7A" w:rsidRPr="00F657B4" w:rsidTr="0090493B">
        <w:trPr>
          <w:cantSplit/>
        </w:trPr>
        <w:tc>
          <w:tcPr>
            <w:tcW w:w="7668" w:type="dxa"/>
            <w:tcBorders>
              <w:right w:val="nil"/>
            </w:tcBorders>
            <w:shd w:val="clear" w:color="auto" w:fill="E6EED5"/>
          </w:tcPr>
          <w:p w:rsidR="000C7E7A" w:rsidRPr="00F657B4" w:rsidRDefault="000C7E7A" w:rsidP="00CD23B8">
            <w:pPr>
              <w:pStyle w:val="BodyTextIndent"/>
              <w:spacing w:before="120"/>
              <w:ind w:left="0"/>
              <w:rPr>
                <w:rFonts w:cs="Arial"/>
                <w:b/>
                <w:bCs/>
                <w:i/>
                <w:sz w:val="20"/>
                <w:szCs w:val="20"/>
              </w:rPr>
            </w:pPr>
            <w:r w:rsidRPr="00F657B4">
              <w:rPr>
                <w:rFonts w:cs="Arial"/>
                <w:b/>
                <w:i/>
                <w:sz w:val="20"/>
                <w:szCs w:val="20"/>
              </w:rPr>
              <w:lastRenderedPageBreak/>
              <w:t>Review of NHMRC guidelines</w:t>
            </w:r>
          </w:p>
          <w:p w:rsidR="000C7E7A" w:rsidRPr="00F657B4" w:rsidRDefault="000C7E7A" w:rsidP="00CD23B8">
            <w:pPr>
              <w:pStyle w:val="BodyTextIndent"/>
              <w:spacing w:before="120"/>
              <w:ind w:left="0"/>
              <w:rPr>
                <w:rFonts w:cs="Arial"/>
                <w:b/>
                <w:bCs/>
                <w:sz w:val="20"/>
                <w:szCs w:val="20"/>
                <w:lang w:val="en-US"/>
              </w:rPr>
            </w:pPr>
            <w:r w:rsidRPr="00F657B4">
              <w:rPr>
                <w:rFonts w:cs="Arial"/>
                <w:bCs/>
                <w:sz w:val="20"/>
                <w:szCs w:val="20"/>
              </w:rPr>
              <w:t>The optimal time for introduction of foods into the diets of children is controversial</w:t>
            </w:r>
            <w:r w:rsidR="00F96B80">
              <w:rPr>
                <w:rFonts w:cs="Arial"/>
                <w:bCs/>
                <w:sz w:val="20"/>
                <w:szCs w:val="20"/>
              </w:rPr>
              <w:t xml:space="preserve"> and undergoing review e.g. by N</w:t>
            </w:r>
            <w:r w:rsidRPr="00F657B4">
              <w:rPr>
                <w:rFonts w:cs="Arial"/>
                <w:bCs/>
                <w:sz w:val="20"/>
                <w:szCs w:val="20"/>
              </w:rPr>
              <w:t>HMRC, ASCIA</w:t>
            </w:r>
            <w:r w:rsidRPr="00F657B4">
              <w:rPr>
                <w:rFonts w:cs="Arial"/>
                <w:sz w:val="20"/>
                <w:szCs w:val="20"/>
              </w:rPr>
              <w:t xml:space="preserve"> &amp; American Academy of Paediatrics, 2008. Review is due for completion by 2010. This m</w:t>
            </w:r>
            <w:r w:rsidRPr="00F657B4">
              <w:rPr>
                <w:rFonts w:cs="Arial"/>
                <w:bCs/>
                <w:sz w:val="20"/>
                <w:szCs w:val="20"/>
                <w:lang w:val="en-US"/>
              </w:rPr>
              <w:t xml:space="preserve">ay change the benchmark. </w:t>
            </w:r>
          </w:p>
          <w:p w:rsidR="000C7E7A" w:rsidRPr="00F657B4" w:rsidRDefault="000C7E7A" w:rsidP="00CD23B8">
            <w:pPr>
              <w:pStyle w:val="BodyTextIndent"/>
              <w:spacing w:before="120"/>
              <w:ind w:left="0"/>
              <w:rPr>
                <w:rFonts w:cs="Arial"/>
                <w:b/>
                <w:bCs/>
                <w:sz w:val="20"/>
                <w:szCs w:val="20"/>
              </w:rPr>
            </w:pPr>
            <w:r w:rsidRPr="00F657B4">
              <w:rPr>
                <w:rFonts w:cs="Arial"/>
                <w:bCs/>
                <w:sz w:val="20"/>
                <w:szCs w:val="20"/>
              </w:rPr>
              <w:t xml:space="preserve">Changing the minimum age labelling for food for infants at this time would be unwise. Recommended retain the status quo, delay labelling changes and review once the NHMRC guidelines are revised.  </w:t>
            </w:r>
          </w:p>
          <w:p w:rsidR="000C7E7A" w:rsidRPr="00F657B4" w:rsidRDefault="000C7E7A" w:rsidP="00CD23B8">
            <w:pPr>
              <w:rPr>
                <w:rFonts w:cs="Arial"/>
                <w:b/>
                <w:bCs/>
                <w:sz w:val="20"/>
                <w:szCs w:val="20"/>
              </w:rPr>
            </w:pPr>
            <w:r w:rsidRPr="00F657B4">
              <w:rPr>
                <w:rFonts w:cs="Arial"/>
                <w:sz w:val="20"/>
                <w:szCs w:val="20"/>
              </w:rPr>
              <w:t xml:space="preserve">Guidelines fail to take into account the needs of infants who require infant formula and are not breastfed, including </w:t>
            </w:r>
            <w:r w:rsidR="00A20C72">
              <w:rPr>
                <w:rFonts w:cs="Arial"/>
                <w:i/>
                <w:sz w:val="20"/>
                <w:szCs w:val="20"/>
              </w:rPr>
              <w:t>pre-</w:t>
            </w:r>
            <w:r w:rsidRPr="00F657B4">
              <w:rPr>
                <w:rFonts w:cs="Arial"/>
                <w:i/>
                <w:sz w:val="20"/>
                <w:szCs w:val="20"/>
              </w:rPr>
              <w:t>term babies.</w:t>
            </w:r>
          </w:p>
        </w:tc>
        <w:tc>
          <w:tcPr>
            <w:tcW w:w="1890" w:type="dxa"/>
            <w:tcBorders>
              <w:left w:val="nil"/>
              <w:right w:val="nil"/>
            </w:tcBorders>
            <w:shd w:val="clear" w:color="auto" w:fill="E6EED5"/>
          </w:tcPr>
          <w:p w:rsidR="000C7E7A" w:rsidRDefault="000C7E7A" w:rsidP="00CD23B8">
            <w:pPr>
              <w:pStyle w:val="BodyTextIndent"/>
              <w:spacing w:before="120"/>
              <w:ind w:left="0"/>
              <w:rPr>
                <w:rFonts w:cs="Arial"/>
                <w:bCs/>
                <w:sz w:val="20"/>
                <w:szCs w:val="20"/>
              </w:rPr>
            </w:pPr>
          </w:p>
          <w:p w:rsidR="000C7E7A" w:rsidRPr="00F657B4" w:rsidRDefault="000C7E7A" w:rsidP="00D501DC">
            <w:pPr>
              <w:pStyle w:val="BodyTextIndent"/>
              <w:spacing w:before="120"/>
              <w:ind w:left="0"/>
              <w:jc w:val="center"/>
              <w:rPr>
                <w:rFonts w:cs="Arial"/>
                <w:sz w:val="20"/>
                <w:szCs w:val="20"/>
              </w:rPr>
            </w:pPr>
            <w:r w:rsidRPr="00F657B4">
              <w:rPr>
                <w:rFonts w:cs="Arial"/>
                <w:bCs/>
                <w:sz w:val="20"/>
                <w:szCs w:val="20"/>
              </w:rPr>
              <w:t xml:space="preserve">DAA, AFGC, </w:t>
            </w:r>
            <w:r>
              <w:rPr>
                <w:rFonts w:cs="Arial"/>
                <w:bCs/>
                <w:sz w:val="20"/>
                <w:szCs w:val="20"/>
              </w:rPr>
              <w:t xml:space="preserve">Heinz, </w:t>
            </w:r>
            <w:r w:rsidRPr="00F657B4">
              <w:rPr>
                <w:rFonts w:cs="Arial"/>
                <w:sz w:val="20"/>
                <w:szCs w:val="20"/>
              </w:rPr>
              <w:t>NZDA,</w:t>
            </w:r>
            <w:r>
              <w:rPr>
                <w:rFonts w:cs="Arial"/>
                <w:sz w:val="20"/>
                <w:szCs w:val="20"/>
              </w:rPr>
              <w:t xml:space="preserve"> </w:t>
            </w:r>
            <w:r w:rsidRPr="00F657B4">
              <w:rPr>
                <w:rFonts w:cs="Arial"/>
                <w:sz w:val="20"/>
                <w:szCs w:val="20"/>
              </w:rPr>
              <w:t>Nestl</w:t>
            </w:r>
            <w:r w:rsidR="00FF0645">
              <w:rPr>
                <w:rFonts w:cs="Arial"/>
                <w:sz w:val="20"/>
                <w:szCs w:val="20"/>
              </w:rPr>
              <w:t>é</w:t>
            </w:r>
            <w:r>
              <w:rPr>
                <w:rFonts w:cs="Arial"/>
                <w:sz w:val="20"/>
                <w:szCs w:val="20"/>
              </w:rPr>
              <w:t xml:space="preserve">, </w:t>
            </w:r>
            <w:r w:rsidRPr="00F657B4">
              <w:rPr>
                <w:rFonts w:cs="Arial"/>
                <w:sz w:val="20"/>
                <w:szCs w:val="20"/>
              </w:rPr>
              <w:t>FTAA</w:t>
            </w:r>
          </w:p>
        </w:tc>
        <w:tc>
          <w:tcPr>
            <w:tcW w:w="4500" w:type="dxa"/>
            <w:tcBorders>
              <w:left w:val="nil"/>
            </w:tcBorders>
            <w:shd w:val="clear" w:color="auto" w:fill="E6EED5"/>
          </w:tcPr>
          <w:p w:rsidR="000C7E7A" w:rsidRDefault="000C7E7A" w:rsidP="00CD23B8">
            <w:pPr>
              <w:rPr>
                <w:rFonts w:cs="Arial"/>
                <w:sz w:val="20"/>
                <w:szCs w:val="20"/>
              </w:rPr>
            </w:pPr>
          </w:p>
          <w:p w:rsidR="000C7E7A" w:rsidRDefault="000C7E7A" w:rsidP="00CD23B8">
            <w:pPr>
              <w:rPr>
                <w:rFonts w:cs="Arial"/>
                <w:sz w:val="20"/>
                <w:szCs w:val="20"/>
              </w:rPr>
            </w:pPr>
          </w:p>
          <w:p w:rsidR="000C7E7A" w:rsidRPr="00F657B4" w:rsidRDefault="000C7E7A" w:rsidP="00CD23B8">
            <w:pPr>
              <w:rPr>
                <w:rFonts w:cs="Arial"/>
                <w:sz w:val="20"/>
                <w:szCs w:val="20"/>
              </w:rPr>
            </w:pPr>
            <w:r w:rsidRPr="00F657B4">
              <w:rPr>
                <w:rFonts w:cs="Arial"/>
                <w:sz w:val="20"/>
                <w:szCs w:val="20"/>
              </w:rPr>
              <w:t>Following PFAR</w:t>
            </w:r>
            <w:r w:rsidR="00044EC6">
              <w:rPr>
                <w:rFonts w:cs="Arial"/>
                <w:sz w:val="20"/>
                <w:szCs w:val="20"/>
              </w:rPr>
              <w:t>,</w:t>
            </w:r>
            <w:r w:rsidRPr="00F657B4">
              <w:rPr>
                <w:rFonts w:cs="Arial"/>
                <w:sz w:val="20"/>
                <w:szCs w:val="20"/>
              </w:rPr>
              <w:t xml:space="preserve"> FSANZ decided to p</w:t>
            </w:r>
            <w:r>
              <w:rPr>
                <w:rFonts w:cs="Arial"/>
                <w:sz w:val="20"/>
                <w:szCs w:val="20"/>
              </w:rPr>
              <w:t>l</w:t>
            </w:r>
            <w:r w:rsidRPr="00F657B4">
              <w:rPr>
                <w:rFonts w:cs="Arial"/>
                <w:sz w:val="20"/>
                <w:szCs w:val="20"/>
              </w:rPr>
              <w:t>ace Proposal P274 on hold until after the NHMRC review of the infant feeding guidelines. The review was released in February 2013, hence P274 has recommenced.</w:t>
            </w:r>
          </w:p>
          <w:p w:rsidR="000C7E7A" w:rsidRPr="00F657B4" w:rsidRDefault="000C7E7A" w:rsidP="00CD23B8">
            <w:pPr>
              <w:rPr>
                <w:rFonts w:cs="Arial"/>
                <w:sz w:val="20"/>
                <w:szCs w:val="20"/>
              </w:rPr>
            </w:pPr>
          </w:p>
          <w:p w:rsidR="000C7E7A" w:rsidRPr="00F657B4" w:rsidRDefault="000C7E7A" w:rsidP="00CD23B8">
            <w:pPr>
              <w:rPr>
                <w:rFonts w:cs="Arial"/>
                <w:sz w:val="20"/>
                <w:szCs w:val="20"/>
              </w:rPr>
            </w:pPr>
          </w:p>
        </w:tc>
      </w:tr>
      <w:tr w:rsidR="000C7E7A" w:rsidRPr="00F657B4" w:rsidTr="0090493B">
        <w:trPr>
          <w:cantSplit/>
        </w:trPr>
        <w:tc>
          <w:tcPr>
            <w:tcW w:w="7668" w:type="dxa"/>
            <w:tcBorders>
              <w:right w:val="nil"/>
            </w:tcBorders>
            <w:shd w:val="clear" w:color="auto" w:fill="E6EED5"/>
          </w:tcPr>
          <w:p w:rsidR="000C7E7A" w:rsidRPr="00F657B4" w:rsidRDefault="000C7E7A" w:rsidP="00CD23B8">
            <w:pPr>
              <w:pStyle w:val="BodyTextIndent"/>
              <w:spacing w:before="120"/>
              <w:ind w:left="0"/>
              <w:rPr>
                <w:rFonts w:cs="Arial"/>
                <w:b/>
                <w:bCs/>
                <w:i/>
                <w:sz w:val="20"/>
                <w:szCs w:val="20"/>
              </w:rPr>
            </w:pPr>
            <w:r w:rsidRPr="00F657B4">
              <w:rPr>
                <w:rFonts w:cs="Arial"/>
                <w:b/>
                <w:bCs/>
                <w:i/>
                <w:sz w:val="20"/>
                <w:szCs w:val="20"/>
              </w:rPr>
              <w:t>Harmonisation</w:t>
            </w:r>
            <w:r w:rsidRPr="00F657B4">
              <w:rPr>
                <w:rFonts w:cs="Arial"/>
                <w:b/>
                <w:i/>
                <w:sz w:val="20"/>
                <w:szCs w:val="20"/>
              </w:rPr>
              <w:t xml:space="preserve"> with i</w:t>
            </w:r>
            <w:r w:rsidRPr="00F657B4">
              <w:rPr>
                <w:rFonts w:cs="Arial"/>
                <w:b/>
                <w:bCs/>
                <w:i/>
                <w:sz w:val="20"/>
                <w:szCs w:val="20"/>
              </w:rPr>
              <w:t>nternational regulations</w:t>
            </w:r>
          </w:p>
          <w:p w:rsidR="000C7E7A" w:rsidRPr="00F657B4" w:rsidRDefault="000C7E7A" w:rsidP="00CD23B8">
            <w:pPr>
              <w:pStyle w:val="BodyTextIndent"/>
              <w:spacing w:before="120"/>
              <w:ind w:left="0"/>
              <w:rPr>
                <w:rFonts w:cs="Arial"/>
                <w:b/>
                <w:bCs/>
                <w:sz w:val="20"/>
                <w:szCs w:val="20"/>
              </w:rPr>
            </w:pPr>
            <w:r w:rsidRPr="00F657B4">
              <w:rPr>
                <w:rFonts w:cs="Arial"/>
                <w:bCs/>
                <w:sz w:val="20"/>
                <w:szCs w:val="20"/>
              </w:rPr>
              <w:t xml:space="preserve">Current EU and </w:t>
            </w:r>
            <w:r w:rsidRPr="00DE25DE">
              <w:rPr>
                <w:rFonts w:cs="Arial"/>
                <w:bCs/>
                <w:sz w:val="20"/>
                <w:szCs w:val="20"/>
              </w:rPr>
              <w:t>USA</w:t>
            </w:r>
            <w:r w:rsidRPr="00F657B4">
              <w:rPr>
                <w:rFonts w:cs="Arial"/>
                <w:bCs/>
                <w:sz w:val="20"/>
                <w:szCs w:val="20"/>
              </w:rPr>
              <w:t xml:space="preserve"> requirements retain the 4-6 months provisions. </w:t>
            </w:r>
            <w:r w:rsidRPr="00F657B4">
              <w:rPr>
                <w:rFonts w:cs="Arial"/>
                <w:sz w:val="20"/>
                <w:szCs w:val="20"/>
              </w:rPr>
              <w:t>Being inconsistent with major trading partners</w:t>
            </w:r>
            <w:r w:rsidRPr="00F657B4">
              <w:rPr>
                <w:rFonts w:cs="Arial"/>
                <w:bCs/>
                <w:sz w:val="20"/>
                <w:szCs w:val="20"/>
              </w:rPr>
              <w:t xml:space="preserve"> will limit the opportunity for import, export and competition. This is a barrier to fair trade - any food importer in Australia and NZ would not be able to directly import baby food from these countries without the additional costs of maintaining a separate SKU with separate labels.</w:t>
            </w:r>
          </w:p>
          <w:p w:rsidR="000C7E7A" w:rsidRPr="00F657B4" w:rsidRDefault="000C7E7A" w:rsidP="00CD23B8">
            <w:pPr>
              <w:pStyle w:val="BodyTextIndent"/>
              <w:spacing w:before="120"/>
              <w:ind w:left="7" w:hanging="7"/>
              <w:rPr>
                <w:rFonts w:cs="Arial"/>
                <w:b/>
                <w:bCs/>
                <w:sz w:val="20"/>
                <w:szCs w:val="20"/>
              </w:rPr>
            </w:pPr>
            <w:r w:rsidRPr="00F657B4">
              <w:rPr>
                <w:rFonts w:cs="Arial"/>
                <w:sz w:val="20"/>
                <w:szCs w:val="20"/>
              </w:rPr>
              <w:t xml:space="preserve">FSANZ acknowledges that amending the standard as proposed will introduce significant costs in changes to labels and will result in increased barrier to the entry of new manufacturers into the Australian market. </w:t>
            </w:r>
          </w:p>
          <w:p w:rsidR="000C7E7A" w:rsidRPr="00F657B4" w:rsidRDefault="00236875" w:rsidP="00CD23B8">
            <w:pPr>
              <w:pStyle w:val="BodyTextIndent"/>
              <w:spacing w:before="120"/>
              <w:ind w:left="0"/>
              <w:rPr>
                <w:rFonts w:cs="Arial"/>
                <w:b/>
                <w:bCs/>
                <w:sz w:val="20"/>
                <w:szCs w:val="20"/>
              </w:rPr>
            </w:pPr>
            <w:r>
              <w:rPr>
                <w:rFonts w:cs="Arial"/>
                <w:bCs/>
                <w:sz w:val="20"/>
                <w:szCs w:val="20"/>
              </w:rPr>
              <w:t>I</w:t>
            </w:r>
            <w:r w:rsidR="000C7E7A" w:rsidRPr="00F657B4">
              <w:rPr>
                <w:rFonts w:cs="Arial"/>
                <w:bCs/>
                <w:sz w:val="20"/>
                <w:szCs w:val="20"/>
              </w:rPr>
              <w:t xml:space="preserve">mposing more restrictive labelling regulations in Australia / NZ than is currently required in Europe and USA will not meet the FSANZ objective of an efficient and internationally competitive food industry.  Notes FSANZ has identified that EU and USA regulations do not impose the restriction on minimum age labelling as proposed by Option 2.  Consider Option 2 does not promote consistency between domestic and international food standards. </w:t>
            </w:r>
          </w:p>
          <w:p w:rsidR="000C7E7A" w:rsidRPr="00F657B4" w:rsidRDefault="000C7E7A" w:rsidP="00CD23B8">
            <w:pPr>
              <w:pStyle w:val="BodyTextIndent"/>
              <w:spacing w:before="120"/>
              <w:ind w:left="0"/>
              <w:rPr>
                <w:rFonts w:cs="Arial"/>
                <w:b/>
                <w:bCs/>
                <w:sz w:val="20"/>
                <w:szCs w:val="20"/>
              </w:rPr>
            </w:pPr>
            <w:r w:rsidRPr="00F657B4">
              <w:rPr>
                <w:rFonts w:cs="Arial"/>
                <w:bCs/>
                <w:sz w:val="20"/>
                <w:szCs w:val="20"/>
              </w:rPr>
              <w:t>Considers this is a barrier to fair trade as any food importer in Australia and NZ would not be able to directly import baby food from these countries without the additional costs of maintaining a separate SKU with separate labels. This will restrict the availability of products onto the Australian / NZ market which are currently produced in Europe or USA with a reference to suitability for infants</w:t>
            </w:r>
            <w:r w:rsidR="006F71FE">
              <w:rPr>
                <w:rFonts w:cs="Arial"/>
                <w:bCs/>
                <w:sz w:val="20"/>
                <w:szCs w:val="20"/>
              </w:rPr>
              <w:t xml:space="preserve"> from 4 months on their labels.</w:t>
            </w:r>
          </w:p>
        </w:tc>
        <w:tc>
          <w:tcPr>
            <w:tcW w:w="1890" w:type="dxa"/>
            <w:tcBorders>
              <w:left w:val="nil"/>
              <w:right w:val="nil"/>
            </w:tcBorders>
            <w:shd w:val="clear" w:color="auto" w:fill="E6EED5"/>
          </w:tcPr>
          <w:p w:rsidR="006578AB" w:rsidRDefault="006578AB" w:rsidP="005B7635">
            <w:pPr>
              <w:pStyle w:val="BodyTextIndent"/>
              <w:ind w:left="0"/>
              <w:jc w:val="center"/>
              <w:rPr>
                <w:rFonts w:cs="Arial"/>
                <w:bCs/>
                <w:sz w:val="20"/>
                <w:szCs w:val="20"/>
              </w:rPr>
            </w:pPr>
          </w:p>
          <w:p w:rsidR="005B7635" w:rsidRDefault="005B7635" w:rsidP="005B7635">
            <w:pPr>
              <w:pStyle w:val="BodyTextIndent"/>
              <w:ind w:left="0"/>
              <w:jc w:val="center"/>
              <w:rPr>
                <w:rFonts w:cs="Arial"/>
                <w:bCs/>
                <w:sz w:val="20"/>
                <w:szCs w:val="20"/>
              </w:rPr>
            </w:pPr>
          </w:p>
          <w:p w:rsidR="00A60A79" w:rsidRDefault="000C7E7A" w:rsidP="005B7635">
            <w:pPr>
              <w:pStyle w:val="BodyTextIndent"/>
              <w:ind w:left="0"/>
              <w:jc w:val="center"/>
              <w:rPr>
                <w:rFonts w:cs="Arial"/>
                <w:bCs/>
                <w:sz w:val="20"/>
                <w:szCs w:val="20"/>
              </w:rPr>
            </w:pPr>
            <w:r w:rsidRPr="00F657B4">
              <w:rPr>
                <w:rFonts w:cs="Arial"/>
                <w:bCs/>
                <w:sz w:val="20"/>
                <w:szCs w:val="20"/>
              </w:rPr>
              <w:t>AFGC</w:t>
            </w:r>
            <w:r>
              <w:rPr>
                <w:rFonts w:cs="Arial"/>
                <w:bCs/>
                <w:sz w:val="20"/>
                <w:szCs w:val="20"/>
              </w:rPr>
              <w:t xml:space="preserve"> </w:t>
            </w:r>
          </w:p>
          <w:p w:rsidR="00A60A79" w:rsidRDefault="00A60A79" w:rsidP="005B7635">
            <w:pPr>
              <w:pStyle w:val="BodyTextIndent"/>
              <w:ind w:left="0"/>
              <w:jc w:val="center"/>
              <w:rPr>
                <w:rFonts w:cs="Arial"/>
                <w:bCs/>
                <w:sz w:val="20"/>
                <w:szCs w:val="20"/>
              </w:rPr>
            </w:pPr>
          </w:p>
          <w:p w:rsidR="00A60A79" w:rsidRDefault="00A60A79" w:rsidP="005B7635">
            <w:pPr>
              <w:pStyle w:val="BodyTextIndent"/>
              <w:ind w:left="0"/>
              <w:jc w:val="center"/>
              <w:rPr>
                <w:rFonts w:cs="Arial"/>
                <w:bCs/>
                <w:sz w:val="20"/>
                <w:szCs w:val="20"/>
              </w:rPr>
            </w:pPr>
          </w:p>
          <w:p w:rsidR="000C7E7A" w:rsidRDefault="000C7E7A" w:rsidP="005B7635">
            <w:pPr>
              <w:pStyle w:val="BodyTextIndent"/>
              <w:ind w:left="0"/>
              <w:jc w:val="center"/>
              <w:rPr>
                <w:rFonts w:cs="Arial"/>
                <w:bCs/>
                <w:sz w:val="20"/>
                <w:szCs w:val="20"/>
              </w:rPr>
            </w:pPr>
            <w:r w:rsidRPr="00F657B4">
              <w:rPr>
                <w:rFonts w:cs="Arial"/>
                <w:bCs/>
                <w:sz w:val="20"/>
                <w:szCs w:val="20"/>
              </w:rPr>
              <w:t>Nestl</w:t>
            </w:r>
            <w:r w:rsidR="000E5409">
              <w:rPr>
                <w:rFonts w:cs="Arial"/>
                <w:bCs/>
                <w:sz w:val="20"/>
                <w:szCs w:val="20"/>
              </w:rPr>
              <w:t>é</w:t>
            </w:r>
          </w:p>
          <w:p w:rsidR="000C7E7A" w:rsidRPr="00F657B4" w:rsidRDefault="000C7E7A" w:rsidP="005B7635">
            <w:pPr>
              <w:pStyle w:val="BodyTextIndent"/>
              <w:ind w:left="0"/>
              <w:jc w:val="center"/>
              <w:rPr>
                <w:rFonts w:cs="Arial"/>
                <w:bCs/>
                <w:sz w:val="20"/>
                <w:szCs w:val="20"/>
              </w:rPr>
            </w:pPr>
          </w:p>
          <w:p w:rsidR="000C7E7A" w:rsidRPr="00DD34FA" w:rsidRDefault="000C7E7A" w:rsidP="005B7635">
            <w:pPr>
              <w:pStyle w:val="BodyTextIndent"/>
              <w:ind w:left="0"/>
              <w:jc w:val="center"/>
              <w:rPr>
                <w:rFonts w:cs="Arial"/>
                <w:sz w:val="20"/>
                <w:szCs w:val="20"/>
              </w:rPr>
            </w:pPr>
            <w:r w:rsidRPr="00DD34FA">
              <w:rPr>
                <w:rFonts w:cs="Arial"/>
                <w:sz w:val="20"/>
                <w:szCs w:val="20"/>
              </w:rPr>
              <w:t>FTAA</w:t>
            </w:r>
          </w:p>
          <w:p w:rsidR="00D501DC" w:rsidRDefault="00D501DC" w:rsidP="005B7635">
            <w:pPr>
              <w:pStyle w:val="BodyTextIndent"/>
              <w:ind w:left="0"/>
              <w:jc w:val="center"/>
              <w:rPr>
                <w:rFonts w:cs="Arial"/>
                <w:sz w:val="20"/>
                <w:szCs w:val="20"/>
              </w:rPr>
            </w:pPr>
          </w:p>
          <w:p w:rsidR="000C7E7A" w:rsidRPr="00DD34FA" w:rsidRDefault="00D501DC" w:rsidP="005B7635">
            <w:pPr>
              <w:pStyle w:val="BodyTextIndent"/>
              <w:ind w:left="0"/>
              <w:jc w:val="center"/>
              <w:rPr>
                <w:rFonts w:cs="Arial"/>
                <w:sz w:val="20"/>
                <w:szCs w:val="20"/>
              </w:rPr>
            </w:pPr>
            <w:r>
              <w:rPr>
                <w:rFonts w:cs="Arial"/>
                <w:sz w:val="20"/>
                <w:szCs w:val="20"/>
              </w:rPr>
              <w:t>A</w:t>
            </w:r>
            <w:r w:rsidR="000C7E7A" w:rsidRPr="00DD34FA">
              <w:rPr>
                <w:rFonts w:cs="Arial"/>
                <w:sz w:val="20"/>
                <w:szCs w:val="20"/>
              </w:rPr>
              <w:t>FGC</w:t>
            </w:r>
          </w:p>
          <w:p w:rsidR="000C7E7A" w:rsidRPr="00DD34FA" w:rsidRDefault="000C7E7A" w:rsidP="005B7635">
            <w:pPr>
              <w:pStyle w:val="BodyTextIndent"/>
              <w:ind w:left="0"/>
              <w:jc w:val="center"/>
              <w:rPr>
                <w:rFonts w:cs="Arial"/>
                <w:sz w:val="20"/>
                <w:szCs w:val="20"/>
              </w:rPr>
            </w:pPr>
          </w:p>
          <w:p w:rsidR="00D501DC" w:rsidRDefault="00D501DC" w:rsidP="005B7635">
            <w:pPr>
              <w:pStyle w:val="BodyTextIndent"/>
              <w:ind w:left="0"/>
              <w:jc w:val="center"/>
              <w:rPr>
                <w:rFonts w:cs="Arial"/>
                <w:sz w:val="20"/>
                <w:szCs w:val="20"/>
              </w:rPr>
            </w:pPr>
          </w:p>
          <w:p w:rsidR="000C7E7A" w:rsidRPr="00DD34FA" w:rsidRDefault="00236875" w:rsidP="005B7635">
            <w:pPr>
              <w:pStyle w:val="BodyTextIndent"/>
              <w:ind w:left="0"/>
              <w:jc w:val="center"/>
              <w:rPr>
                <w:rFonts w:cs="Arial"/>
                <w:sz w:val="20"/>
                <w:szCs w:val="20"/>
              </w:rPr>
            </w:pPr>
            <w:r w:rsidRPr="00DD34FA">
              <w:rPr>
                <w:rFonts w:cs="Arial"/>
                <w:sz w:val="20"/>
                <w:szCs w:val="20"/>
              </w:rPr>
              <w:t>Nestl</w:t>
            </w:r>
            <w:r>
              <w:rPr>
                <w:rFonts w:cs="Arial"/>
                <w:sz w:val="20"/>
                <w:szCs w:val="20"/>
              </w:rPr>
              <w:t>é</w:t>
            </w:r>
          </w:p>
          <w:p w:rsidR="000C7E7A" w:rsidRPr="00DD34FA" w:rsidRDefault="000C7E7A" w:rsidP="005B7635">
            <w:pPr>
              <w:pStyle w:val="BodyTextIndent"/>
              <w:ind w:left="0"/>
              <w:jc w:val="center"/>
              <w:rPr>
                <w:rFonts w:cs="Arial"/>
                <w:sz w:val="20"/>
                <w:szCs w:val="20"/>
              </w:rPr>
            </w:pPr>
          </w:p>
          <w:p w:rsidR="000C7E7A" w:rsidRPr="00F657B4" w:rsidRDefault="000C7E7A" w:rsidP="005B7635">
            <w:pPr>
              <w:pStyle w:val="BodyTextIndent"/>
              <w:ind w:left="0"/>
              <w:jc w:val="center"/>
              <w:rPr>
                <w:rFonts w:cs="Arial"/>
                <w:sz w:val="20"/>
                <w:szCs w:val="20"/>
              </w:rPr>
            </w:pPr>
          </w:p>
        </w:tc>
        <w:tc>
          <w:tcPr>
            <w:tcW w:w="4500" w:type="dxa"/>
            <w:tcBorders>
              <w:left w:val="nil"/>
            </w:tcBorders>
            <w:shd w:val="clear" w:color="auto" w:fill="E6EED5"/>
          </w:tcPr>
          <w:p w:rsidR="000C7E7A" w:rsidRDefault="000C7E7A" w:rsidP="00CD23B8">
            <w:pPr>
              <w:rPr>
                <w:rFonts w:cs="Arial"/>
                <w:sz w:val="20"/>
                <w:szCs w:val="20"/>
              </w:rPr>
            </w:pPr>
          </w:p>
          <w:p w:rsidR="000C7E7A" w:rsidRDefault="000C7E7A" w:rsidP="00CD23B8">
            <w:pPr>
              <w:rPr>
                <w:rFonts w:cs="Arial"/>
                <w:sz w:val="20"/>
                <w:szCs w:val="20"/>
              </w:rPr>
            </w:pPr>
          </w:p>
          <w:p w:rsidR="006578AB" w:rsidRDefault="006578AB" w:rsidP="00CD23B8">
            <w:pPr>
              <w:rPr>
                <w:rFonts w:cs="Arial"/>
                <w:sz w:val="20"/>
                <w:szCs w:val="20"/>
              </w:rPr>
            </w:pPr>
          </w:p>
          <w:p w:rsidR="000C7E7A" w:rsidRPr="00F657B4" w:rsidRDefault="000C7E7A" w:rsidP="00CD23B8">
            <w:pPr>
              <w:rPr>
                <w:rFonts w:cs="Arial"/>
                <w:sz w:val="20"/>
                <w:szCs w:val="20"/>
              </w:rPr>
            </w:pPr>
            <w:r w:rsidRPr="00F657B4">
              <w:rPr>
                <w:rFonts w:cs="Arial"/>
                <w:sz w:val="20"/>
                <w:szCs w:val="20"/>
              </w:rPr>
              <w:t>See SD2</w:t>
            </w:r>
          </w:p>
        </w:tc>
      </w:tr>
      <w:tr w:rsidR="000C7E7A" w:rsidRPr="00F657B4" w:rsidTr="0090493B">
        <w:trPr>
          <w:cantSplit/>
        </w:trPr>
        <w:tc>
          <w:tcPr>
            <w:tcW w:w="7668" w:type="dxa"/>
            <w:tcBorders>
              <w:right w:val="nil"/>
            </w:tcBorders>
          </w:tcPr>
          <w:p w:rsidR="000C7E7A" w:rsidRPr="006D4014" w:rsidRDefault="000C7E7A" w:rsidP="00CD23B8">
            <w:pPr>
              <w:pStyle w:val="BodyTextIndent"/>
              <w:spacing w:before="120"/>
              <w:ind w:left="0"/>
              <w:rPr>
                <w:rFonts w:cs="Arial"/>
                <w:b/>
                <w:i/>
                <w:sz w:val="20"/>
                <w:szCs w:val="20"/>
              </w:rPr>
            </w:pPr>
            <w:r w:rsidRPr="006D4014">
              <w:rPr>
                <w:rFonts w:cs="Arial"/>
                <w:b/>
                <w:i/>
                <w:sz w:val="20"/>
                <w:szCs w:val="20"/>
              </w:rPr>
              <w:lastRenderedPageBreak/>
              <w:t>Age, stage, ‘first foods’</w:t>
            </w:r>
          </w:p>
          <w:p w:rsidR="000C7E7A" w:rsidRDefault="000C7E7A" w:rsidP="00CD23B8">
            <w:pPr>
              <w:pStyle w:val="BodyTextIndent"/>
              <w:spacing w:before="120"/>
              <w:ind w:left="0"/>
              <w:rPr>
                <w:rFonts w:cs="Arial"/>
                <w:sz w:val="20"/>
                <w:szCs w:val="20"/>
              </w:rPr>
            </w:pPr>
            <w:r w:rsidRPr="006D4014">
              <w:rPr>
                <w:rFonts w:cs="Arial"/>
                <w:sz w:val="20"/>
                <w:szCs w:val="20"/>
              </w:rPr>
              <w:t>Absence of a stage</w:t>
            </w:r>
            <w:r w:rsidR="00044EC6">
              <w:rPr>
                <w:rFonts w:cs="Arial"/>
                <w:sz w:val="20"/>
                <w:szCs w:val="20"/>
              </w:rPr>
              <w:t>-</w:t>
            </w:r>
            <w:r w:rsidRPr="006D4014">
              <w:rPr>
                <w:rFonts w:cs="Arial"/>
                <w:sz w:val="20"/>
                <w:szCs w:val="20"/>
              </w:rPr>
              <w:t>based approach remains inconsistent with the NZ guidelines. Requests that FSANZ include this approach in its final considerations. Noted NZ infant formula manufacturers and Australian branch support mandatory first stage labelling in addition to age i.e. intended as a first compl</w:t>
            </w:r>
            <w:r w:rsidR="00044EC6">
              <w:rPr>
                <w:rFonts w:cs="Arial"/>
                <w:sz w:val="20"/>
                <w:szCs w:val="20"/>
              </w:rPr>
              <w:t>e</w:t>
            </w:r>
            <w:r w:rsidRPr="006D4014">
              <w:rPr>
                <w:rFonts w:cs="Arial"/>
                <w:sz w:val="20"/>
                <w:szCs w:val="20"/>
              </w:rPr>
              <w:t>mentary food.</w:t>
            </w:r>
          </w:p>
          <w:p w:rsidR="003D2CBC" w:rsidRDefault="003D2CBC" w:rsidP="00552821">
            <w:pPr>
              <w:pStyle w:val="BodyTextIndent"/>
              <w:spacing w:before="120"/>
              <w:ind w:left="0"/>
              <w:rPr>
                <w:rFonts w:cs="Arial"/>
                <w:bCs/>
                <w:sz w:val="20"/>
                <w:szCs w:val="20"/>
              </w:rPr>
            </w:pPr>
            <w:r>
              <w:rPr>
                <w:rFonts w:cs="Arial"/>
                <w:sz w:val="20"/>
                <w:szCs w:val="20"/>
              </w:rPr>
              <w:br/>
            </w:r>
            <w:r w:rsidR="00552821">
              <w:rPr>
                <w:rFonts w:cs="Arial"/>
                <w:sz w:val="20"/>
                <w:szCs w:val="20"/>
              </w:rPr>
              <w:t xml:space="preserve">Considers information regarding age may be more practical to caregivers than stage in terms of feeding milestone information. More research on how parents interpret food labels and infant feeding recommendations would be good to see.  </w:t>
            </w:r>
            <w:r w:rsidR="00552821">
              <w:rPr>
                <w:rFonts w:cs="Arial"/>
                <w:bCs/>
                <w:sz w:val="20"/>
                <w:szCs w:val="20"/>
              </w:rPr>
              <w:t xml:space="preserve"> </w:t>
            </w:r>
          </w:p>
          <w:p w:rsidR="00D501DC" w:rsidRPr="006D4014" w:rsidRDefault="00D501DC" w:rsidP="006F71FE">
            <w:pPr>
              <w:rPr>
                <w:rFonts w:cs="Arial"/>
                <w:bCs/>
                <w:sz w:val="20"/>
                <w:szCs w:val="20"/>
              </w:rPr>
            </w:pPr>
            <w:r>
              <w:rPr>
                <w:rFonts w:cs="Arial"/>
                <w:bCs/>
                <w:sz w:val="20"/>
                <w:szCs w:val="20"/>
              </w:rPr>
              <w:t xml:space="preserve">Age and consistency information should both be provided. </w:t>
            </w:r>
            <w:r w:rsidRPr="00D501DC">
              <w:rPr>
                <w:rFonts w:eastAsiaTheme="minorHAnsi"/>
                <w:sz w:val="20"/>
              </w:rPr>
              <w:t>Stating the consistency allows carers to choose appropriate products</w:t>
            </w:r>
            <w:r>
              <w:rPr>
                <w:rFonts w:eastAsiaTheme="minorHAnsi"/>
                <w:sz w:val="20"/>
              </w:rPr>
              <w:t xml:space="preserve"> </w:t>
            </w:r>
            <w:r w:rsidRPr="00D501DC">
              <w:rPr>
                <w:rFonts w:eastAsiaTheme="minorHAnsi"/>
                <w:sz w:val="20"/>
              </w:rPr>
              <w:t>based on their child’s development</w:t>
            </w:r>
            <w:r>
              <w:rPr>
                <w:rFonts w:eastAsiaTheme="minorHAnsi"/>
                <w:sz w:val="20"/>
              </w:rPr>
              <w:t xml:space="preserve">. </w:t>
            </w:r>
          </w:p>
        </w:tc>
        <w:tc>
          <w:tcPr>
            <w:tcW w:w="1890" w:type="dxa"/>
            <w:tcBorders>
              <w:left w:val="nil"/>
              <w:right w:val="nil"/>
            </w:tcBorders>
          </w:tcPr>
          <w:p w:rsidR="000C7E7A" w:rsidRDefault="000C7E7A" w:rsidP="005B7635">
            <w:pPr>
              <w:jc w:val="center"/>
              <w:rPr>
                <w:rFonts w:cs="Arial"/>
                <w:bCs/>
                <w:sz w:val="20"/>
                <w:szCs w:val="20"/>
              </w:rPr>
            </w:pPr>
          </w:p>
          <w:p w:rsidR="00552821" w:rsidRDefault="00552821" w:rsidP="005B7635">
            <w:pPr>
              <w:jc w:val="center"/>
              <w:rPr>
                <w:rFonts w:cs="Arial"/>
                <w:bCs/>
                <w:sz w:val="20"/>
                <w:szCs w:val="20"/>
              </w:rPr>
            </w:pPr>
          </w:p>
          <w:p w:rsidR="00552821" w:rsidRDefault="00552821" w:rsidP="005B7635">
            <w:pPr>
              <w:jc w:val="center"/>
              <w:rPr>
                <w:rFonts w:cs="Arial"/>
                <w:bCs/>
                <w:sz w:val="20"/>
                <w:szCs w:val="20"/>
              </w:rPr>
            </w:pPr>
          </w:p>
          <w:p w:rsidR="000C7E7A" w:rsidRDefault="00D501DC" w:rsidP="005B7635">
            <w:pPr>
              <w:jc w:val="center"/>
              <w:rPr>
                <w:rFonts w:cs="Arial"/>
                <w:bCs/>
                <w:sz w:val="20"/>
                <w:szCs w:val="20"/>
              </w:rPr>
            </w:pPr>
            <w:r>
              <w:rPr>
                <w:rFonts w:cs="Arial"/>
                <w:bCs/>
                <w:sz w:val="20"/>
                <w:szCs w:val="20"/>
              </w:rPr>
              <w:t>N</w:t>
            </w:r>
            <w:r w:rsidR="000C7E7A" w:rsidRPr="00F657B4">
              <w:rPr>
                <w:rFonts w:cs="Arial"/>
                <w:bCs/>
                <w:sz w:val="20"/>
                <w:szCs w:val="20"/>
              </w:rPr>
              <w:t>ZFSA/</w:t>
            </w:r>
            <w:proofErr w:type="spellStart"/>
            <w:r w:rsidR="000C7E7A" w:rsidRPr="00F657B4">
              <w:rPr>
                <w:rFonts w:cs="Arial"/>
                <w:bCs/>
                <w:sz w:val="20"/>
                <w:szCs w:val="20"/>
              </w:rPr>
              <w:t>MoH</w:t>
            </w:r>
            <w:proofErr w:type="spellEnd"/>
          </w:p>
          <w:p w:rsidR="00D501DC" w:rsidRDefault="00D501DC" w:rsidP="005B7635">
            <w:pPr>
              <w:jc w:val="center"/>
              <w:rPr>
                <w:rFonts w:cs="Arial"/>
                <w:bCs/>
                <w:sz w:val="20"/>
                <w:szCs w:val="20"/>
              </w:rPr>
            </w:pPr>
          </w:p>
          <w:p w:rsidR="00D501DC" w:rsidRDefault="00D501DC" w:rsidP="005B7635">
            <w:pPr>
              <w:jc w:val="center"/>
              <w:rPr>
                <w:rFonts w:cs="Arial"/>
                <w:bCs/>
                <w:sz w:val="20"/>
                <w:szCs w:val="20"/>
              </w:rPr>
            </w:pPr>
          </w:p>
          <w:p w:rsidR="00D501DC" w:rsidRDefault="00D501DC" w:rsidP="005B7635">
            <w:pPr>
              <w:jc w:val="center"/>
              <w:rPr>
                <w:rFonts w:cs="Arial"/>
                <w:bCs/>
                <w:sz w:val="20"/>
                <w:szCs w:val="20"/>
              </w:rPr>
            </w:pPr>
          </w:p>
          <w:p w:rsidR="00D501DC" w:rsidRDefault="00D501DC" w:rsidP="00D501DC">
            <w:pPr>
              <w:jc w:val="center"/>
              <w:rPr>
                <w:rFonts w:cs="Arial"/>
                <w:bCs/>
                <w:sz w:val="20"/>
                <w:szCs w:val="20"/>
              </w:rPr>
            </w:pPr>
            <w:r>
              <w:rPr>
                <w:rFonts w:cs="Arial"/>
                <w:bCs/>
                <w:sz w:val="20"/>
                <w:szCs w:val="20"/>
              </w:rPr>
              <w:t>DAA</w:t>
            </w:r>
          </w:p>
          <w:p w:rsidR="00D501DC" w:rsidRDefault="00D501DC" w:rsidP="00D501DC">
            <w:pPr>
              <w:jc w:val="center"/>
              <w:rPr>
                <w:rFonts w:cs="Arial"/>
                <w:bCs/>
                <w:sz w:val="20"/>
                <w:szCs w:val="20"/>
              </w:rPr>
            </w:pPr>
          </w:p>
          <w:p w:rsidR="00D501DC" w:rsidRDefault="00D501DC" w:rsidP="00D501DC">
            <w:pPr>
              <w:jc w:val="center"/>
              <w:rPr>
                <w:rFonts w:cs="Arial"/>
                <w:bCs/>
                <w:sz w:val="20"/>
                <w:szCs w:val="20"/>
              </w:rPr>
            </w:pPr>
          </w:p>
          <w:p w:rsidR="00D501DC" w:rsidRDefault="00D501DC" w:rsidP="00D501DC">
            <w:pPr>
              <w:jc w:val="center"/>
              <w:rPr>
                <w:rFonts w:cs="Arial"/>
                <w:bCs/>
                <w:sz w:val="20"/>
                <w:szCs w:val="20"/>
              </w:rPr>
            </w:pPr>
          </w:p>
          <w:p w:rsidR="00D501DC" w:rsidRPr="00F657B4" w:rsidRDefault="00D501DC" w:rsidP="00D501DC">
            <w:pPr>
              <w:jc w:val="center"/>
              <w:rPr>
                <w:rFonts w:cs="Arial"/>
                <w:b/>
                <w:bCs/>
                <w:sz w:val="20"/>
                <w:szCs w:val="20"/>
              </w:rPr>
            </w:pPr>
            <w:r>
              <w:rPr>
                <w:rFonts w:cs="Arial"/>
                <w:bCs/>
                <w:sz w:val="20"/>
                <w:szCs w:val="20"/>
              </w:rPr>
              <w:t>Victoria DHS</w:t>
            </w:r>
          </w:p>
        </w:tc>
        <w:tc>
          <w:tcPr>
            <w:tcW w:w="4500" w:type="dxa"/>
            <w:tcBorders>
              <w:left w:val="nil"/>
            </w:tcBorders>
          </w:tcPr>
          <w:p w:rsidR="000C7E7A" w:rsidRDefault="000C7E7A" w:rsidP="00CD23B8">
            <w:pPr>
              <w:rPr>
                <w:rFonts w:cs="Arial"/>
                <w:sz w:val="20"/>
                <w:szCs w:val="20"/>
              </w:rPr>
            </w:pPr>
          </w:p>
          <w:p w:rsidR="00D501DC" w:rsidRDefault="00D501DC" w:rsidP="00CD23B8">
            <w:pPr>
              <w:rPr>
                <w:rFonts w:cs="Arial"/>
                <w:sz w:val="20"/>
                <w:szCs w:val="20"/>
              </w:rPr>
            </w:pPr>
          </w:p>
          <w:p w:rsidR="00D501DC" w:rsidRDefault="00D501DC" w:rsidP="00CD23B8">
            <w:pPr>
              <w:rPr>
                <w:rFonts w:cs="Arial"/>
                <w:sz w:val="20"/>
                <w:szCs w:val="20"/>
              </w:rPr>
            </w:pPr>
          </w:p>
          <w:p w:rsidR="000C7E7A" w:rsidRPr="00F657B4" w:rsidRDefault="000C7E7A" w:rsidP="00CD23B8">
            <w:pPr>
              <w:rPr>
                <w:rFonts w:cs="Arial"/>
                <w:sz w:val="20"/>
                <w:szCs w:val="20"/>
              </w:rPr>
            </w:pPr>
            <w:r w:rsidRPr="00F657B4">
              <w:rPr>
                <w:rFonts w:cs="Arial"/>
                <w:sz w:val="20"/>
                <w:szCs w:val="20"/>
              </w:rPr>
              <w:t>See SD2. FSANZ does not propose to mandate any stage labelling. This will remain a voluntary option for manufacturers.</w:t>
            </w:r>
          </w:p>
        </w:tc>
      </w:tr>
      <w:tr w:rsidR="000C7E7A" w:rsidRPr="00F657B4" w:rsidTr="0090493B">
        <w:trPr>
          <w:cantSplit/>
        </w:trPr>
        <w:tc>
          <w:tcPr>
            <w:tcW w:w="7668" w:type="dxa"/>
            <w:tcBorders>
              <w:right w:val="nil"/>
            </w:tcBorders>
            <w:shd w:val="clear" w:color="auto" w:fill="E6EED5"/>
          </w:tcPr>
          <w:p w:rsidR="000C7E7A" w:rsidRPr="00F657B4" w:rsidRDefault="000C7E7A" w:rsidP="00CD23B8">
            <w:pPr>
              <w:pStyle w:val="BodyTextIndent"/>
              <w:spacing w:before="120"/>
              <w:ind w:left="0"/>
              <w:rPr>
                <w:rFonts w:cs="Arial"/>
                <w:b/>
                <w:bCs/>
                <w:i/>
                <w:sz w:val="20"/>
                <w:szCs w:val="20"/>
              </w:rPr>
            </w:pPr>
            <w:r w:rsidRPr="00F657B4">
              <w:rPr>
                <w:rFonts w:cs="Arial"/>
                <w:b/>
                <w:i/>
                <w:sz w:val="20"/>
                <w:szCs w:val="20"/>
              </w:rPr>
              <w:lastRenderedPageBreak/>
              <w:t xml:space="preserve">‘Around 6 months’ wording on labels </w:t>
            </w:r>
          </w:p>
          <w:p w:rsidR="000C7E7A" w:rsidRPr="00F657B4" w:rsidRDefault="000C7E7A" w:rsidP="00CD23B8">
            <w:pPr>
              <w:rPr>
                <w:rFonts w:cs="Arial"/>
                <w:b/>
                <w:bCs/>
                <w:sz w:val="20"/>
                <w:szCs w:val="20"/>
              </w:rPr>
            </w:pPr>
            <w:r w:rsidRPr="00F657B4">
              <w:rPr>
                <w:rFonts w:cs="Arial"/>
                <w:sz w:val="20"/>
                <w:szCs w:val="20"/>
              </w:rPr>
              <w:t xml:space="preserve">Mandating ‘around 6 months’ creates ambiguity for carers and advisors. </w:t>
            </w:r>
            <w:r w:rsidRPr="00F657B4">
              <w:rPr>
                <w:rFonts w:cs="Arial"/>
                <w:bCs/>
                <w:sz w:val="20"/>
                <w:szCs w:val="20"/>
              </w:rPr>
              <w:t xml:space="preserve">‘Around 6 months’ is indefinite and less clear for consumers, than ‘4-6 months’. </w:t>
            </w:r>
            <w:r w:rsidRPr="00F657B4">
              <w:rPr>
                <w:rFonts w:cs="Arial"/>
                <w:sz w:val="20"/>
                <w:szCs w:val="20"/>
              </w:rPr>
              <w:t xml:space="preserve">Also, it is critical that ‘around 6 months’ is NOT interpreted by jurisdictions to mean that manufacturers cannot provide advice about developmental cues seen younger than 6 months but older than 4 months. Considers the FSANZ proposal implies that manufacturers should be prohibited from providing consumer advice.  </w:t>
            </w:r>
          </w:p>
          <w:p w:rsidR="000C7E7A" w:rsidRPr="00F657B4" w:rsidRDefault="000C7E7A" w:rsidP="00CD23B8">
            <w:pPr>
              <w:pStyle w:val="BodyTextIndent"/>
              <w:spacing w:before="120"/>
              <w:ind w:left="0"/>
              <w:rPr>
                <w:rFonts w:cs="Arial"/>
                <w:b/>
                <w:bCs/>
                <w:sz w:val="20"/>
                <w:szCs w:val="20"/>
              </w:rPr>
            </w:pPr>
            <w:r w:rsidRPr="00F657B4">
              <w:rPr>
                <w:rFonts w:cs="Arial"/>
                <w:sz w:val="20"/>
                <w:szCs w:val="20"/>
              </w:rPr>
              <w:t xml:space="preserve">Notes </w:t>
            </w:r>
            <w:r w:rsidR="00552821">
              <w:rPr>
                <w:rFonts w:cs="Arial"/>
                <w:sz w:val="20"/>
                <w:szCs w:val="20"/>
              </w:rPr>
              <w:t xml:space="preserve">the ranges of interpretations of the term among </w:t>
            </w:r>
            <w:r w:rsidR="00552821">
              <w:rPr>
                <w:rFonts w:ascii="AvantGarde-Book" w:eastAsiaTheme="minorHAnsi" w:hAnsi="AvantGarde-Book" w:cs="AvantGarde-Book"/>
                <w:sz w:val="20"/>
                <w:szCs w:val="20"/>
                <w:lang w:bidi="ar-SA"/>
              </w:rPr>
              <w:t>health professionals reported by FSANZ.</w:t>
            </w:r>
            <w:r w:rsidR="00552821">
              <w:rPr>
                <w:rFonts w:cs="Arial"/>
                <w:sz w:val="20"/>
                <w:szCs w:val="20"/>
              </w:rPr>
              <w:t xml:space="preserve"> P</w:t>
            </w:r>
            <w:r w:rsidRPr="00F657B4">
              <w:rPr>
                <w:rFonts w:cs="Arial"/>
                <w:sz w:val="20"/>
                <w:szCs w:val="20"/>
              </w:rPr>
              <w:t xml:space="preserve">arents need clear and concise information and queries if health professionals are confused, how are parents expected to make informed choices. Considers labelling of ‘around 6 months’ and ‘not for infants under the age of 4 months’ is a complex message. Believes the statement 4-6 months is less confusing and delivers the same message.  </w:t>
            </w:r>
          </w:p>
          <w:p w:rsidR="000C7E7A" w:rsidRPr="00F657B4" w:rsidRDefault="000C7E7A" w:rsidP="00CD23B8">
            <w:pPr>
              <w:pStyle w:val="BodyTextIndent"/>
              <w:ind w:left="0"/>
              <w:rPr>
                <w:rFonts w:cs="Arial"/>
                <w:b/>
                <w:bCs/>
                <w:sz w:val="20"/>
                <w:szCs w:val="20"/>
              </w:rPr>
            </w:pPr>
            <w:r w:rsidRPr="00F657B4">
              <w:rPr>
                <w:rFonts w:cs="Arial"/>
                <w:bCs/>
                <w:sz w:val="20"/>
                <w:szCs w:val="20"/>
              </w:rPr>
              <w:t>As there is wide variation as to when infants are ready for solids</w:t>
            </w:r>
            <w:r w:rsidR="00044EC6">
              <w:rPr>
                <w:rFonts w:cs="Arial"/>
                <w:bCs/>
                <w:sz w:val="20"/>
                <w:szCs w:val="20"/>
              </w:rPr>
              <w:t>,</w:t>
            </w:r>
            <w:r w:rsidRPr="00F657B4">
              <w:rPr>
                <w:rFonts w:cs="Arial"/>
                <w:bCs/>
                <w:sz w:val="20"/>
                <w:szCs w:val="20"/>
              </w:rPr>
              <w:t xml:space="preserve"> the proposed labelling changes would be confusing and counterproductive. </w:t>
            </w:r>
          </w:p>
          <w:p w:rsidR="000C7E7A" w:rsidRDefault="000C7E7A" w:rsidP="00CD23B8">
            <w:pPr>
              <w:pStyle w:val="BodyTextIndent"/>
              <w:ind w:left="0"/>
              <w:rPr>
                <w:rFonts w:cs="Arial"/>
                <w:bCs/>
                <w:sz w:val="20"/>
                <w:szCs w:val="20"/>
              </w:rPr>
            </w:pPr>
            <w:r w:rsidRPr="00F657B4">
              <w:rPr>
                <w:rFonts w:cs="Arial"/>
                <w:bCs/>
                <w:sz w:val="20"/>
                <w:szCs w:val="20"/>
              </w:rPr>
              <w:t xml:space="preserve">The term ‘around 6 months’ is indefinite and could be interpreted as 4,5,7,or 8 months. Readiness for solids varies and the carer makes a judgment based on many more factors than a label. </w:t>
            </w:r>
          </w:p>
          <w:p w:rsidR="003D2CBC" w:rsidRDefault="003D2CBC" w:rsidP="00CD23B8">
            <w:pPr>
              <w:pStyle w:val="BodyTextIndent"/>
              <w:ind w:left="0"/>
              <w:rPr>
                <w:rFonts w:cs="Arial"/>
                <w:bCs/>
                <w:sz w:val="20"/>
                <w:szCs w:val="20"/>
              </w:rPr>
            </w:pPr>
            <w:r>
              <w:rPr>
                <w:rFonts w:cs="Arial"/>
                <w:bCs/>
                <w:sz w:val="20"/>
                <w:szCs w:val="20"/>
              </w:rPr>
              <w:t xml:space="preserve">Notes evidence from Queensland Health CATI study supports FSANZ consumer research and suggests that ‘around six months’ impacted the age of introduction of solids. </w:t>
            </w:r>
          </w:p>
          <w:p w:rsidR="00CA0D1F" w:rsidRPr="00F657B4" w:rsidRDefault="00CA0D1F" w:rsidP="003D2CBC">
            <w:pPr>
              <w:pStyle w:val="BodyTextIndent"/>
              <w:ind w:left="0"/>
              <w:rPr>
                <w:rFonts w:cs="Arial"/>
                <w:b/>
                <w:bCs/>
                <w:i/>
                <w:sz w:val="20"/>
                <w:szCs w:val="20"/>
              </w:rPr>
            </w:pPr>
            <w:r>
              <w:rPr>
                <w:rFonts w:cs="Arial"/>
                <w:bCs/>
                <w:sz w:val="20"/>
                <w:szCs w:val="20"/>
              </w:rPr>
              <w:t>‘Around 6 months’ is silent on context and without qualification. Suggests ‘suitable for around 6 months’.</w:t>
            </w:r>
          </w:p>
        </w:tc>
        <w:tc>
          <w:tcPr>
            <w:tcW w:w="1890" w:type="dxa"/>
            <w:tcBorders>
              <w:left w:val="nil"/>
              <w:right w:val="nil"/>
            </w:tcBorders>
            <w:shd w:val="clear" w:color="auto" w:fill="E6EED5"/>
          </w:tcPr>
          <w:p w:rsidR="000C7E7A" w:rsidRDefault="000C7E7A" w:rsidP="005B7635">
            <w:pPr>
              <w:jc w:val="center"/>
              <w:rPr>
                <w:rFonts w:cs="Arial"/>
                <w:bCs/>
                <w:sz w:val="20"/>
                <w:szCs w:val="20"/>
              </w:rPr>
            </w:pPr>
          </w:p>
          <w:p w:rsidR="000C7E7A" w:rsidRDefault="000C7E7A" w:rsidP="005B7635">
            <w:pPr>
              <w:jc w:val="center"/>
              <w:rPr>
                <w:rFonts w:cs="Arial"/>
                <w:bCs/>
                <w:sz w:val="20"/>
                <w:szCs w:val="20"/>
              </w:rPr>
            </w:pPr>
          </w:p>
          <w:p w:rsidR="000C7E7A" w:rsidRPr="00F657B4" w:rsidRDefault="000C7E7A" w:rsidP="005B7635">
            <w:pPr>
              <w:jc w:val="center"/>
              <w:rPr>
                <w:rFonts w:cs="Arial"/>
                <w:bCs/>
                <w:sz w:val="20"/>
                <w:szCs w:val="20"/>
              </w:rPr>
            </w:pPr>
            <w:r w:rsidRPr="00F657B4">
              <w:rPr>
                <w:rFonts w:cs="Arial"/>
                <w:bCs/>
                <w:sz w:val="20"/>
                <w:szCs w:val="20"/>
              </w:rPr>
              <w:t>AFGC</w:t>
            </w:r>
            <w:r w:rsidR="003D2CBC">
              <w:rPr>
                <w:rFonts w:cs="Arial"/>
                <w:bCs/>
                <w:sz w:val="20"/>
                <w:szCs w:val="20"/>
              </w:rPr>
              <w:t xml:space="preserve">, FTAA </w:t>
            </w:r>
          </w:p>
          <w:p w:rsidR="000C7E7A" w:rsidRPr="00F657B4" w:rsidRDefault="000C7E7A" w:rsidP="005B7635">
            <w:pPr>
              <w:jc w:val="center"/>
              <w:rPr>
                <w:rFonts w:cs="Arial"/>
                <w:bCs/>
                <w:sz w:val="20"/>
                <w:szCs w:val="20"/>
              </w:rPr>
            </w:pPr>
          </w:p>
          <w:p w:rsidR="000C7E7A" w:rsidRPr="00F657B4" w:rsidRDefault="000C7E7A" w:rsidP="005B7635">
            <w:pPr>
              <w:jc w:val="center"/>
              <w:rPr>
                <w:rFonts w:cs="Arial"/>
                <w:bCs/>
                <w:sz w:val="20"/>
                <w:szCs w:val="20"/>
              </w:rPr>
            </w:pPr>
          </w:p>
          <w:p w:rsidR="000C7E7A" w:rsidRPr="00F657B4" w:rsidRDefault="000C7E7A" w:rsidP="005B7635">
            <w:pPr>
              <w:jc w:val="center"/>
              <w:rPr>
                <w:rFonts w:cs="Arial"/>
                <w:bCs/>
                <w:sz w:val="20"/>
                <w:szCs w:val="20"/>
              </w:rPr>
            </w:pPr>
          </w:p>
          <w:p w:rsidR="000C7E7A" w:rsidRPr="00F657B4" w:rsidRDefault="000C7E7A" w:rsidP="005B7635">
            <w:pPr>
              <w:jc w:val="center"/>
              <w:rPr>
                <w:rFonts w:cs="Arial"/>
                <w:bCs/>
                <w:sz w:val="20"/>
                <w:szCs w:val="20"/>
              </w:rPr>
            </w:pPr>
          </w:p>
          <w:p w:rsidR="000C7E7A" w:rsidRPr="00F657B4" w:rsidRDefault="000C7E7A" w:rsidP="005B7635">
            <w:pPr>
              <w:jc w:val="center"/>
              <w:rPr>
                <w:rFonts w:cs="Arial"/>
                <w:bCs/>
                <w:sz w:val="20"/>
                <w:szCs w:val="20"/>
              </w:rPr>
            </w:pPr>
          </w:p>
          <w:p w:rsidR="000C7E7A" w:rsidRDefault="000C7E7A" w:rsidP="005B7635">
            <w:pPr>
              <w:jc w:val="center"/>
              <w:rPr>
                <w:rFonts w:cs="Arial"/>
                <w:bCs/>
                <w:sz w:val="20"/>
                <w:szCs w:val="20"/>
              </w:rPr>
            </w:pPr>
          </w:p>
          <w:p w:rsidR="00552821" w:rsidRPr="00F657B4" w:rsidRDefault="00552821" w:rsidP="00552821">
            <w:pPr>
              <w:jc w:val="center"/>
              <w:rPr>
                <w:rFonts w:cs="Arial"/>
                <w:bCs/>
                <w:sz w:val="20"/>
                <w:szCs w:val="20"/>
              </w:rPr>
            </w:pPr>
            <w:r>
              <w:rPr>
                <w:rFonts w:cs="Arial"/>
                <w:bCs/>
                <w:sz w:val="20"/>
                <w:szCs w:val="20"/>
              </w:rPr>
              <w:t>Heinz</w:t>
            </w:r>
          </w:p>
          <w:p w:rsidR="000C7E7A" w:rsidRPr="00F657B4" w:rsidRDefault="000C7E7A" w:rsidP="005B7635">
            <w:pPr>
              <w:jc w:val="center"/>
              <w:rPr>
                <w:rFonts w:cs="Arial"/>
                <w:bCs/>
                <w:sz w:val="20"/>
                <w:szCs w:val="20"/>
              </w:rPr>
            </w:pPr>
          </w:p>
          <w:p w:rsidR="000C7E7A" w:rsidRPr="00F657B4" w:rsidRDefault="000C7E7A" w:rsidP="005B7635">
            <w:pPr>
              <w:jc w:val="center"/>
              <w:rPr>
                <w:rFonts w:cs="Arial"/>
                <w:bCs/>
                <w:sz w:val="20"/>
                <w:szCs w:val="20"/>
              </w:rPr>
            </w:pPr>
          </w:p>
          <w:p w:rsidR="000C7E7A" w:rsidRPr="00F657B4" w:rsidRDefault="000C7E7A" w:rsidP="005B7635">
            <w:pPr>
              <w:jc w:val="center"/>
              <w:rPr>
                <w:rFonts w:cs="Arial"/>
                <w:bCs/>
                <w:sz w:val="20"/>
                <w:szCs w:val="20"/>
              </w:rPr>
            </w:pPr>
          </w:p>
          <w:p w:rsidR="000C7E7A" w:rsidRPr="00F657B4" w:rsidRDefault="000C7E7A" w:rsidP="005B7635">
            <w:pPr>
              <w:jc w:val="center"/>
              <w:rPr>
                <w:rFonts w:cs="Arial"/>
                <w:bCs/>
                <w:sz w:val="20"/>
                <w:szCs w:val="20"/>
              </w:rPr>
            </w:pPr>
          </w:p>
          <w:p w:rsidR="000C7E7A" w:rsidRPr="00F657B4" w:rsidRDefault="000C7E7A" w:rsidP="005B7635">
            <w:pPr>
              <w:jc w:val="center"/>
              <w:rPr>
                <w:rFonts w:cs="Arial"/>
                <w:bCs/>
                <w:sz w:val="20"/>
                <w:szCs w:val="20"/>
              </w:rPr>
            </w:pPr>
          </w:p>
          <w:p w:rsidR="000C7E7A" w:rsidRDefault="000C7E7A" w:rsidP="005B7635">
            <w:pPr>
              <w:jc w:val="center"/>
              <w:rPr>
                <w:rFonts w:cs="Arial"/>
                <w:bCs/>
                <w:sz w:val="20"/>
                <w:szCs w:val="20"/>
              </w:rPr>
            </w:pPr>
            <w:r w:rsidRPr="00F657B4">
              <w:rPr>
                <w:rFonts w:cs="Arial"/>
                <w:bCs/>
                <w:sz w:val="20"/>
                <w:szCs w:val="20"/>
              </w:rPr>
              <w:t>FTAA</w:t>
            </w:r>
          </w:p>
          <w:p w:rsidR="00824669" w:rsidRDefault="00824669" w:rsidP="005B7635">
            <w:pPr>
              <w:jc w:val="center"/>
              <w:rPr>
                <w:rFonts w:cs="Arial"/>
                <w:bCs/>
                <w:sz w:val="20"/>
                <w:szCs w:val="20"/>
              </w:rPr>
            </w:pPr>
          </w:p>
          <w:p w:rsidR="00824669" w:rsidRDefault="00824669" w:rsidP="005B7635">
            <w:pPr>
              <w:jc w:val="center"/>
              <w:rPr>
                <w:rFonts w:cs="Arial"/>
                <w:bCs/>
                <w:sz w:val="20"/>
                <w:szCs w:val="20"/>
              </w:rPr>
            </w:pPr>
          </w:p>
          <w:p w:rsidR="00824669" w:rsidRDefault="00824669" w:rsidP="005B7635">
            <w:pPr>
              <w:jc w:val="center"/>
              <w:rPr>
                <w:rFonts w:cs="Arial"/>
                <w:bCs/>
                <w:sz w:val="20"/>
                <w:szCs w:val="20"/>
              </w:rPr>
            </w:pPr>
            <w:r>
              <w:rPr>
                <w:rFonts w:cs="Arial"/>
                <w:bCs/>
                <w:sz w:val="20"/>
                <w:szCs w:val="20"/>
              </w:rPr>
              <w:t xml:space="preserve">SA Health </w:t>
            </w:r>
          </w:p>
          <w:p w:rsidR="00CA0D1F" w:rsidRDefault="00CA0D1F" w:rsidP="005B7635">
            <w:pPr>
              <w:jc w:val="center"/>
              <w:rPr>
                <w:rFonts w:cs="Arial"/>
                <w:bCs/>
                <w:sz w:val="20"/>
                <w:szCs w:val="20"/>
              </w:rPr>
            </w:pPr>
          </w:p>
          <w:p w:rsidR="003D2CBC" w:rsidRDefault="003D2CBC" w:rsidP="005B7635">
            <w:pPr>
              <w:jc w:val="center"/>
              <w:rPr>
                <w:rFonts w:cs="Arial"/>
                <w:sz w:val="20"/>
                <w:szCs w:val="20"/>
              </w:rPr>
            </w:pPr>
          </w:p>
          <w:p w:rsidR="003D2CBC" w:rsidRDefault="003D2CBC" w:rsidP="005B7635">
            <w:pPr>
              <w:jc w:val="center"/>
              <w:rPr>
                <w:rFonts w:cs="Arial"/>
                <w:sz w:val="20"/>
                <w:szCs w:val="20"/>
              </w:rPr>
            </w:pPr>
            <w:r>
              <w:rPr>
                <w:rFonts w:cs="Arial"/>
                <w:bCs/>
                <w:sz w:val="20"/>
                <w:szCs w:val="20"/>
              </w:rPr>
              <w:t xml:space="preserve">QLD Health, DHS Tasmania </w:t>
            </w:r>
          </w:p>
          <w:p w:rsidR="003D2CBC" w:rsidRDefault="003D2CBC" w:rsidP="005B7635">
            <w:pPr>
              <w:jc w:val="center"/>
              <w:rPr>
                <w:rFonts w:cs="Arial"/>
                <w:sz w:val="20"/>
                <w:szCs w:val="20"/>
              </w:rPr>
            </w:pPr>
          </w:p>
          <w:p w:rsidR="003D2CBC" w:rsidRDefault="003D2CBC" w:rsidP="005B7635">
            <w:pPr>
              <w:jc w:val="center"/>
              <w:rPr>
                <w:rFonts w:cs="Arial"/>
                <w:sz w:val="20"/>
                <w:szCs w:val="20"/>
              </w:rPr>
            </w:pPr>
          </w:p>
          <w:p w:rsidR="003D2CBC" w:rsidRPr="003D2CBC" w:rsidRDefault="00CA0D1F" w:rsidP="003D2CBC">
            <w:pPr>
              <w:jc w:val="center"/>
              <w:rPr>
                <w:rFonts w:cs="Arial"/>
                <w:sz w:val="20"/>
                <w:szCs w:val="20"/>
              </w:rPr>
            </w:pPr>
            <w:r>
              <w:rPr>
                <w:rFonts w:cs="Arial"/>
                <w:sz w:val="20"/>
                <w:szCs w:val="20"/>
              </w:rPr>
              <w:t>NSW FA</w:t>
            </w:r>
          </w:p>
        </w:tc>
        <w:tc>
          <w:tcPr>
            <w:tcW w:w="4500" w:type="dxa"/>
            <w:tcBorders>
              <w:left w:val="nil"/>
            </w:tcBorders>
            <w:shd w:val="clear" w:color="auto" w:fill="E6EED5"/>
          </w:tcPr>
          <w:p w:rsidR="000C7E7A" w:rsidRDefault="000C7E7A" w:rsidP="00CD23B8">
            <w:pPr>
              <w:rPr>
                <w:rFonts w:cs="Arial"/>
                <w:sz w:val="20"/>
                <w:szCs w:val="20"/>
              </w:rPr>
            </w:pPr>
          </w:p>
          <w:p w:rsidR="00D501DC" w:rsidRDefault="00D501DC" w:rsidP="00CD23B8">
            <w:pPr>
              <w:rPr>
                <w:rFonts w:cs="Arial"/>
                <w:sz w:val="20"/>
                <w:szCs w:val="20"/>
              </w:rPr>
            </w:pPr>
          </w:p>
          <w:p w:rsidR="000C7E7A" w:rsidRPr="00F657B4" w:rsidRDefault="000C7E7A" w:rsidP="00CD23B8">
            <w:pPr>
              <w:rPr>
                <w:rFonts w:cs="Arial"/>
                <w:sz w:val="20"/>
                <w:szCs w:val="20"/>
              </w:rPr>
            </w:pPr>
            <w:r>
              <w:rPr>
                <w:rFonts w:cs="Arial"/>
                <w:sz w:val="20"/>
                <w:szCs w:val="20"/>
              </w:rPr>
              <w:t>S</w:t>
            </w:r>
            <w:r w:rsidRPr="00F657B4">
              <w:rPr>
                <w:rFonts w:cs="Arial"/>
                <w:sz w:val="20"/>
                <w:szCs w:val="20"/>
              </w:rPr>
              <w:t>ee SD2</w:t>
            </w:r>
          </w:p>
        </w:tc>
      </w:tr>
      <w:tr w:rsidR="000C7E7A" w:rsidRPr="00F657B4" w:rsidTr="0090493B">
        <w:trPr>
          <w:cantSplit/>
        </w:trPr>
        <w:tc>
          <w:tcPr>
            <w:tcW w:w="7668" w:type="dxa"/>
            <w:tcBorders>
              <w:right w:val="nil"/>
            </w:tcBorders>
          </w:tcPr>
          <w:p w:rsidR="000C7E7A" w:rsidRPr="006D4014" w:rsidRDefault="000C7E7A" w:rsidP="00CD23B8">
            <w:pPr>
              <w:pStyle w:val="BodyTextIndent"/>
              <w:spacing w:before="120"/>
              <w:ind w:left="0"/>
              <w:rPr>
                <w:rFonts w:cs="Arial"/>
                <w:b/>
                <w:i/>
                <w:sz w:val="20"/>
                <w:szCs w:val="20"/>
              </w:rPr>
            </w:pPr>
            <w:r w:rsidRPr="006D4014">
              <w:rPr>
                <w:rFonts w:cs="Arial"/>
                <w:b/>
                <w:i/>
                <w:sz w:val="20"/>
                <w:szCs w:val="20"/>
              </w:rPr>
              <w:t>Warning statement</w:t>
            </w:r>
          </w:p>
          <w:p w:rsidR="000C7E7A" w:rsidRPr="006D4014" w:rsidRDefault="000C7E7A" w:rsidP="00CD23B8">
            <w:pPr>
              <w:pStyle w:val="BodyTextIndent"/>
              <w:spacing w:before="120"/>
              <w:ind w:left="0"/>
              <w:rPr>
                <w:rFonts w:cs="Arial"/>
                <w:sz w:val="20"/>
                <w:szCs w:val="20"/>
              </w:rPr>
            </w:pPr>
            <w:r w:rsidRPr="006D4014">
              <w:rPr>
                <w:rFonts w:cs="Arial"/>
                <w:sz w:val="20"/>
                <w:szCs w:val="20"/>
              </w:rPr>
              <w:t xml:space="preserve">Considers this needs to be retained to discourage early introduction of solids. Believes using 5 months rather than four months may partially address this problem. </w:t>
            </w:r>
          </w:p>
        </w:tc>
        <w:tc>
          <w:tcPr>
            <w:tcW w:w="1890" w:type="dxa"/>
            <w:tcBorders>
              <w:left w:val="nil"/>
              <w:right w:val="nil"/>
            </w:tcBorders>
          </w:tcPr>
          <w:p w:rsidR="000C7E7A" w:rsidRDefault="000C7E7A" w:rsidP="005B7635">
            <w:pPr>
              <w:jc w:val="center"/>
              <w:rPr>
                <w:rFonts w:cs="Arial"/>
                <w:bCs/>
                <w:sz w:val="20"/>
                <w:szCs w:val="20"/>
              </w:rPr>
            </w:pPr>
          </w:p>
          <w:p w:rsidR="000C7E7A" w:rsidRPr="00F657B4" w:rsidRDefault="000C7E7A" w:rsidP="00A20C72">
            <w:pPr>
              <w:spacing w:before="120"/>
              <w:jc w:val="center"/>
              <w:rPr>
                <w:rFonts w:cs="Arial"/>
                <w:bCs/>
                <w:sz w:val="20"/>
                <w:szCs w:val="20"/>
              </w:rPr>
            </w:pPr>
            <w:r w:rsidRPr="00F657B4">
              <w:rPr>
                <w:rFonts w:cs="Arial"/>
                <w:bCs/>
                <w:sz w:val="20"/>
                <w:szCs w:val="20"/>
              </w:rPr>
              <w:t>L</w:t>
            </w:r>
            <w:r w:rsidR="00A20C72">
              <w:rPr>
                <w:rFonts w:cs="Arial"/>
                <w:bCs/>
                <w:sz w:val="20"/>
                <w:szCs w:val="20"/>
              </w:rPr>
              <w:t>LL</w:t>
            </w:r>
            <w:r w:rsidR="000E5409">
              <w:rPr>
                <w:rFonts w:cs="Arial"/>
                <w:bCs/>
                <w:sz w:val="20"/>
                <w:szCs w:val="20"/>
              </w:rPr>
              <w:t xml:space="preserve"> NZ</w:t>
            </w:r>
          </w:p>
        </w:tc>
        <w:tc>
          <w:tcPr>
            <w:tcW w:w="4500" w:type="dxa"/>
            <w:tcBorders>
              <w:left w:val="nil"/>
            </w:tcBorders>
          </w:tcPr>
          <w:p w:rsidR="000C7E7A" w:rsidRDefault="000C7E7A" w:rsidP="00CD23B8">
            <w:pPr>
              <w:rPr>
                <w:rFonts w:cs="Arial"/>
                <w:sz w:val="20"/>
                <w:szCs w:val="20"/>
              </w:rPr>
            </w:pPr>
          </w:p>
          <w:p w:rsidR="000C7E7A" w:rsidRPr="00F657B4" w:rsidRDefault="000C7E7A" w:rsidP="00A20C72">
            <w:pPr>
              <w:spacing w:before="120"/>
              <w:rPr>
                <w:rFonts w:cs="Arial"/>
                <w:sz w:val="20"/>
                <w:szCs w:val="20"/>
              </w:rPr>
            </w:pPr>
            <w:r w:rsidRPr="00F657B4">
              <w:rPr>
                <w:rFonts w:cs="Arial"/>
                <w:sz w:val="20"/>
                <w:szCs w:val="20"/>
              </w:rPr>
              <w:t>See SD2</w:t>
            </w:r>
          </w:p>
        </w:tc>
      </w:tr>
      <w:tr w:rsidR="000C7E7A" w:rsidRPr="00F657B4" w:rsidTr="0090493B">
        <w:trPr>
          <w:cantSplit/>
        </w:trPr>
        <w:tc>
          <w:tcPr>
            <w:tcW w:w="7668" w:type="dxa"/>
            <w:tcBorders>
              <w:right w:val="nil"/>
            </w:tcBorders>
            <w:shd w:val="clear" w:color="auto" w:fill="E6EED5"/>
          </w:tcPr>
          <w:p w:rsidR="000C7E7A" w:rsidRPr="006D4014" w:rsidRDefault="000C7E7A" w:rsidP="00CD23B8">
            <w:pPr>
              <w:pStyle w:val="BodyTextIndent"/>
              <w:spacing w:before="120"/>
              <w:ind w:left="0"/>
              <w:rPr>
                <w:rFonts w:cs="Arial"/>
                <w:b/>
                <w:i/>
                <w:sz w:val="20"/>
                <w:szCs w:val="20"/>
              </w:rPr>
            </w:pPr>
            <w:r w:rsidRPr="006D4014">
              <w:rPr>
                <w:rFonts w:cs="Arial"/>
                <w:b/>
                <w:i/>
                <w:sz w:val="20"/>
                <w:szCs w:val="20"/>
              </w:rPr>
              <w:lastRenderedPageBreak/>
              <w:t xml:space="preserve">FSANZ consumer research </w:t>
            </w:r>
          </w:p>
          <w:p w:rsidR="000C7E7A" w:rsidRPr="006D4014" w:rsidRDefault="000C7E7A" w:rsidP="00CD23B8">
            <w:pPr>
              <w:pStyle w:val="BodyTextIndent"/>
              <w:spacing w:before="120"/>
              <w:ind w:left="0"/>
              <w:rPr>
                <w:rFonts w:cs="Arial"/>
                <w:sz w:val="20"/>
                <w:szCs w:val="20"/>
              </w:rPr>
            </w:pPr>
            <w:r w:rsidRPr="006D4014">
              <w:rPr>
                <w:rFonts w:cs="Arial"/>
                <w:sz w:val="20"/>
                <w:szCs w:val="20"/>
              </w:rPr>
              <w:t>Research is outdated (2004), has a small sample size and not representative of NZ consumers. Considers FSANZ’s consultation supports a stage approach. The research has been used to justify the ‘age ‘ approach – but considers it supports the NZFSA recommendation that the statement ’around’ six months be accompanied with wording that it is intended as a first compl</w:t>
            </w:r>
            <w:r w:rsidR="00044EC6">
              <w:rPr>
                <w:rFonts w:cs="Arial"/>
                <w:sz w:val="20"/>
                <w:szCs w:val="20"/>
              </w:rPr>
              <w:t>e</w:t>
            </w:r>
            <w:r w:rsidRPr="006D4014">
              <w:rPr>
                <w:rFonts w:cs="Arial"/>
                <w:sz w:val="20"/>
                <w:szCs w:val="20"/>
              </w:rPr>
              <w:t>mentary food for an infant. Noted that a key (NZ) child health professional group was supportive of infant food labels including stages to guide health professionals.</w:t>
            </w:r>
          </w:p>
          <w:p w:rsidR="000C7E7A" w:rsidRPr="006D4014" w:rsidRDefault="000C7E7A" w:rsidP="00CD23B8">
            <w:pPr>
              <w:pStyle w:val="BodyTextIndent"/>
              <w:spacing w:before="120"/>
              <w:ind w:left="0"/>
              <w:rPr>
                <w:rFonts w:cs="Arial"/>
                <w:b/>
                <w:i/>
                <w:sz w:val="20"/>
                <w:szCs w:val="20"/>
              </w:rPr>
            </w:pPr>
            <w:r w:rsidRPr="006D4014">
              <w:rPr>
                <w:rFonts w:cs="Arial"/>
                <w:sz w:val="20"/>
                <w:szCs w:val="20"/>
              </w:rPr>
              <w:t>Would like to see more research in how parents interpret food labels and recommendations for infant feeding.</w:t>
            </w:r>
          </w:p>
        </w:tc>
        <w:tc>
          <w:tcPr>
            <w:tcW w:w="1890" w:type="dxa"/>
            <w:tcBorders>
              <w:left w:val="nil"/>
              <w:right w:val="nil"/>
            </w:tcBorders>
            <w:shd w:val="clear" w:color="auto" w:fill="E6EED5"/>
          </w:tcPr>
          <w:p w:rsidR="000C7E7A" w:rsidRDefault="000C7E7A" w:rsidP="005B7635">
            <w:pPr>
              <w:jc w:val="center"/>
              <w:rPr>
                <w:rFonts w:cs="Arial"/>
                <w:bCs/>
                <w:sz w:val="20"/>
                <w:szCs w:val="20"/>
              </w:rPr>
            </w:pPr>
          </w:p>
          <w:p w:rsidR="000C7E7A" w:rsidRPr="00F657B4" w:rsidRDefault="000C7E7A" w:rsidP="005B7635">
            <w:pPr>
              <w:jc w:val="center"/>
              <w:rPr>
                <w:rFonts w:cs="Arial"/>
                <w:bCs/>
                <w:sz w:val="20"/>
                <w:szCs w:val="20"/>
              </w:rPr>
            </w:pPr>
            <w:r w:rsidRPr="00F657B4">
              <w:rPr>
                <w:rFonts w:cs="Arial"/>
                <w:bCs/>
                <w:sz w:val="20"/>
                <w:szCs w:val="20"/>
              </w:rPr>
              <w:t>NZFSA/</w:t>
            </w:r>
            <w:proofErr w:type="spellStart"/>
            <w:r w:rsidRPr="00F657B4">
              <w:rPr>
                <w:rFonts w:cs="Arial"/>
                <w:bCs/>
                <w:sz w:val="20"/>
                <w:szCs w:val="20"/>
              </w:rPr>
              <w:t>MoH</w:t>
            </w:r>
            <w:proofErr w:type="spellEnd"/>
          </w:p>
          <w:p w:rsidR="000C7E7A" w:rsidRPr="00F657B4" w:rsidRDefault="000C7E7A" w:rsidP="005B7635">
            <w:pPr>
              <w:jc w:val="center"/>
              <w:rPr>
                <w:rFonts w:cs="Arial"/>
                <w:bCs/>
                <w:sz w:val="20"/>
                <w:szCs w:val="20"/>
              </w:rPr>
            </w:pPr>
          </w:p>
          <w:p w:rsidR="000C7E7A" w:rsidRPr="00F657B4" w:rsidRDefault="000C7E7A" w:rsidP="005B7635">
            <w:pPr>
              <w:jc w:val="center"/>
              <w:rPr>
                <w:rFonts w:cs="Arial"/>
                <w:bCs/>
                <w:sz w:val="20"/>
                <w:szCs w:val="20"/>
              </w:rPr>
            </w:pPr>
          </w:p>
          <w:p w:rsidR="000C7E7A" w:rsidRPr="00F657B4" w:rsidRDefault="000C7E7A" w:rsidP="005B7635">
            <w:pPr>
              <w:jc w:val="center"/>
              <w:rPr>
                <w:rFonts w:cs="Arial"/>
                <w:bCs/>
                <w:sz w:val="20"/>
                <w:szCs w:val="20"/>
              </w:rPr>
            </w:pPr>
          </w:p>
          <w:p w:rsidR="000C7E7A" w:rsidRPr="00F657B4" w:rsidRDefault="000C7E7A" w:rsidP="005B7635">
            <w:pPr>
              <w:jc w:val="center"/>
              <w:rPr>
                <w:rFonts w:cs="Arial"/>
                <w:bCs/>
                <w:sz w:val="20"/>
                <w:szCs w:val="20"/>
              </w:rPr>
            </w:pPr>
          </w:p>
          <w:p w:rsidR="000C7E7A" w:rsidRPr="00F657B4" w:rsidRDefault="000C7E7A" w:rsidP="005B7635">
            <w:pPr>
              <w:jc w:val="center"/>
              <w:rPr>
                <w:rFonts w:cs="Arial"/>
                <w:bCs/>
                <w:sz w:val="20"/>
                <w:szCs w:val="20"/>
              </w:rPr>
            </w:pPr>
          </w:p>
          <w:p w:rsidR="000C7E7A" w:rsidRPr="00F657B4" w:rsidRDefault="000C7E7A" w:rsidP="005B7635">
            <w:pPr>
              <w:jc w:val="center"/>
              <w:rPr>
                <w:rFonts w:cs="Arial"/>
                <w:bCs/>
                <w:sz w:val="20"/>
                <w:szCs w:val="20"/>
              </w:rPr>
            </w:pPr>
          </w:p>
          <w:p w:rsidR="000C7E7A" w:rsidRPr="00F657B4" w:rsidRDefault="000C7E7A" w:rsidP="005B7635">
            <w:pPr>
              <w:jc w:val="center"/>
              <w:rPr>
                <w:rFonts w:cs="Arial"/>
                <w:bCs/>
                <w:sz w:val="20"/>
                <w:szCs w:val="20"/>
              </w:rPr>
            </w:pPr>
          </w:p>
          <w:p w:rsidR="000C7E7A" w:rsidRPr="00F657B4" w:rsidRDefault="000C7E7A" w:rsidP="005B7635">
            <w:pPr>
              <w:jc w:val="center"/>
              <w:rPr>
                <w:rFonts w:cs="Arial"/>
                <w:bCs/>
                <w:sz w:val="20"/>
                <w:szCs w:val="20"/>
              </w:rPr>
            </w:pPr>
            <w:r w:rsidRPr="00F657B4">
              <w:rPr>
                <w:rFonts w:cs="Arial"/>
                <w:bCs/>
                <w:sz w:val="20"/>
                <w:szCs w:val="20"/>
              </w:rPr>
              <w:t>DAA</w:t>
            </w:r>
          </w:p>
          <w:p w:rsidR="000C7E7A" w:rsidRPr="00F657B4" w:rsidRDefault="000C7E7A" w:rsidP="005B7635">
            <w:pPr>
              <w:jc w:val="center"/>
              <w:rPr>
                <w:rFonts w:cs="Arial"/>
                <w:sz w:val="20"/>
                <w:szCs w:val="20"/>
              </w:rPr>
            </w:pPr>
          </w:p>
        </w:tc>
        <w:tc>
          <w:tcPr>
            <w:tcW w:w="4500" w:type="dxa"/>
            <w:tcBorders>
              <w:left w:val="nil"/>
            </w:tcBorders>
            <w:shd w:val="clear" w:color="auto" w:fill="E6EED5"/>
          </w:tcPr>
          <w:p w:rsidR="000C7E7A" w:rsidRDefault="000C7E7A" w:rsidP="00CD23B8">
            <w:pPr>
              <w:rPr>
                <w:rFonts w:cs="Arial"/>
                <w:sz w:val="20"/>
                <w:szCs w:val="20"/>
              </w:rPr>
            </w:pPr>
          </w:p>
          <w:p w:rsidR="000C7E7A" w:rsidRPr="00F657B4" w:rsidRDefault="000C7E7A" w:rsidP="00CD23B8">
            <w:pPr>
              <w:rPr>
                <w:rFonts w:cs="Arial"/>
                <w:sz w:val="20"/>
                <w:szCs w:val="20"/>
              </w:rPr>
            </w:pPr>
            <w:r w:rsidRPr="00F657B4">
              <w:rPr>
                <w:rFonts w:cs="Arial"/>
                <w:sz w:val="20"/>
                <w:szCs w:val="20"/>
              </w:rPr>
              <w:t xml:space="preserve">See </w:t>
            </w:r>
            <w:r>
              <w:rPr>
                <w:rFonts w:cs="Arial"/>
                <w:sz w:val="20"/>
                <w:szCs w:val="20"/>
              </w:rPr>
              <w:t xml:space="preserve">SD2, </w:t>
            </w:r>
            <w:r w:rsidRPr="00F657B4">
              <w:rPr>
                <w:rFonts w:cs="Arial"/>
                <w:sz w:val="20"/>
                <w:szCs w:val="20"/>
              </w:rPr>
              <w:t xml:space="preserve">Attachment </w:t>
            </w:r>
            <w:r>
              <w:rPr>
                <w:rFonts w:cs="Arial"/>
                <w:sz w:val="20"/>
                <w:szCs w:val="20"/>
              </w:rPr>
              <w:t>1</w:t>
            </w:r>
            <w:r w:rsidRPr="00F657B4">
              <w:rPr>
                <w:rFonts w:cs="Arial"/>
                <w:sz w:val="20"/>
                <w:szCs w:val="20"/>
              </w:rPr>
              <w:t>. SD2 also provides comments on a stage (1</w:t>
            </w:r>
            <w:r w:rsidRPr="00F657B4">
              <w:rPr>
                <w:rFonts w:cs="Arial"/>
                <w:sz w:val="20"/>
                <w:szCs w:val="20"/>
                <w:vertAlign w:val="superscript"/>
              </w:rPr>
              <w:t>st</w:t>
            </w:r>
            <w:r w:rsidRPr="00F657B4">
              <w:rPr>
                <w:rFonts w:cs="Arial"/>
                <w:sz w:val="20"/>
                <w:szCs w:val="20"/>
              </w:rPr>
              <w:t xml:space="preserve"> complimentary foods) approach.</w:t>
            </w:r>
          </w:p>
        </w:tc>
      </w:tr>
      <w:tr w:rsidR="000C7E7A" w:rsidRPr="00F657B4" w:rsidTr="0090493B">
        <w:trPr>
          <w:cantSplit/>
        </w:trPr>
        <w:tc>
          <w:tcPr>
            <w:tcW w:w="7668" w:type="dxa"/>
            <w:tcBorders>
              <w:right w:val="nil"/>
            </w:tcBorders>
          </w:tcPr>
          <w:p w:rsidR="000C7E7A" w:rsidRPr="005C7B39" w:rsidRDefault="000C7E7A" w:rsidP="00CD23B8">
            <w:pPr>
              <w:pStyle w:val="BodyTextIndent"/>
              <w:spacing w:before="120"/>
              <w:ind w:left="0"/>
              <w:rPr>
                <w:rFonts w:cs="Arial"/>
                <w:b/>
                <w:i/>
                <w:sz w:val="20"/>
                <w:szCs w:val="20"/>
              </w:rPr>
            </w:pPr>
            <w:r w:rsidRPr="005C7B39">
              <w:rPr>
                <w:rFonts w:cs="Arial"/>
                <w:b/>
                <w:i/>
                <w:sz w:val="20"/>
                <w:szCs w:val="20"/>
              </w:rPr>
              <w:t>Iron declaration - Table 2 to Clause 8</w:t>
            </w:r>
          </w:p>
          <w:p w:rsidR="000C7E7A" w:rsidRPr="0090493B" w:rsidRDefault="000C7E7A" w:rsidP="00A20C72">
            <w:pPr>
              <w:pStyle w:val="BodyTextIndent"/>
              <w:numPr>
                <w:ilvl w:val="0"/>
                <w:numId w:val="11"/>
              </w:numPr>
              <w:spacing w:before="120"/>
              <w:ind w:left="284" w:hanging="284"/>
              <w:rPr>
                <w:rFonts w:cs="Arial"/>
                <w:sz w:val="20"/>
                <w:szCs w:val="20"/>
              </w:rPr>
            </w:pPr>
            <w:r w:rsidRPr="0090493B">
              <w:rPr>
                <w:rFonts w:cs="Arial"/>
                <w:sz w:val="20"/>
                <w:szCs w:val="20"/>
              </w:rPr>
              <w:t xml:space="preserve">Removing the younger RDI for iron could result in iron levels being increased in a first stage food to maintain a claim as a ‘good source’. Concerned about the implications for preterm infants who will have different stage requirements for their age. </w:t>
            </w:r>
          </w:p>
          <w:p w:rsidR="000C7E7A" w:rsidRPr="005C7B39" w:rsidRDefault="000C7E7A" w:rsidP="00A20C72">
            <w:pPr>
              <w:pStyle w:val="BodyTextIndent"/>
              <w:numPr>
                <w:ilvl w:val="0"/>
                <w:numId w:val="11"/>
              </w:numPr>
              <w:spacing w:before="120"/>
              <w:ind w:left="284" w:hanging="284"/>
              <w:rPr>
                <w:rFonts w:cs="Arial"/>
                <w:sz w:val="20"/>
                <w:szCs w:val="20"/>
              </w:rPr>
            </w:pPr>
            <w:r w:rsidRPr="005C7B39">
              <w:rPr>
                <w:rFonts w:cs="Arial"/>
                <w:sz w:val="20"/>
                <w:szCs w:val="20"/>
              </w:rPr>
              <w:t xml:space="preserve">Notes that increasing the RDI from 3 to 9 mg for infants from between 4-6 months, where the serve size is 5 g, will significantly increase the risk of regulatory non-compliance for the manufacturer as this will require 49mg/ 100g on a moisture free basis. This will prohibit manufacturers from making a ‘good source’ claim due to difficulties in tolerance. </w:t>
            </w:r>
          </w:p>
          <w:p w:rsidR="000C7E7A" w:rsidRPr="00A20C72" w:rsidRDefault="000C7E7A" w:rsidP="00A20C72">
            <w:pPr>
              <w:pStyle w:val="BodyTextIndent"/>
              <w:numPr>
                <w:ilvl w:val="0"/>
                <w:numId w:val="11"/>
              </w:numPr>
              <w:spacing w:before="120"/>
              <w:ind w:left="284" w:hanging="284"/>
              <w:rPr>
                <w:rFonts w:cs="Arial"/>
                <w:sz w:val="20"/>
                <w:szCs w:val="20"/>
              </w:rPr>
            </w:pPr>
            <w:r w:rsidRPr="005C7B39">
              <w:rPr>
                <w:rFonts w:cs="Arial"/>
                <w:sz w:val="20"/>
                <w:szCs w:val="20"/>
              </w:rPr>
              <w:t>Impact of retaining one RDI for all infants (9mg per day) is unclear. Using an RDI three times the specified current level for a first food could cause health risks for the infant e.g. constipation and binding of other nutrients.</w:t>
            </w:r>
            <w:r w:rsidRPr="00A20C72">
              <w:rPr>
                <w:rFonts w:cs="Arial"/>
                <w:sz w:val="20"/>
                <w:szCs w:val="20"/>
              </w:rPr>
              <w:t xml:space="preserve"> Recommended </w:t>
            </w:r>
            <w:r w:rsidRPr="00F657B4">
              <w:rPr>
                <w:rFonts w:cs="Arial"/>
                <w:sz w:val="20"/>
                <w:szCs w:val="20"/>
              </w:rPr>
              <w:t xml:space="preserve">further </w:t>
            </w:r>
            <w:r w:rsidRPr="00A20C72">
              <w:rPr>
                <w:rFonts w:cs="Arial"/>
                <w:sz w:val="20"/>
                <w:szCs w:val="20"/>
              </w:rPr>
              <w:t xml:space="preserve">scientific study and </w:t>
            </w:r>
            <w:r w:rsidRPr="00F657B4">
              <w:rPr>
                <w:rFonts w:cs="Arial"/>
                <w:sz w:val="20"/>
                <w:szCs w:val="20"/>
              </w:rPr>
              <w:t>discussion.</w:t>
            </w:r>
            <w:r w:rsidRPr="00A20C72">
              <w:rPr>
                <w:rFonts w:cs="Arial"/>
                <w:sz w:val="20"/>
                <w:szCs w:val="20"/>
              </w:rPr>
              <w:t xml:space="preserve"> </w:t>
            </w:r>
          </w:p>
          <w:p w:rsidR="000C7E7A" w:rsidRPr="00F657B4" w:rsidRDefault="000C7E7A" w:rsidP="00F96B80">
            <w:pPr>
              <w:pStyle w:val="BodyTextIndent"/>
              <w:numPr>
                <w:ilvl w:val="0"/>
                <w:numId w:val="11"/>
              </w:numPr>
              <w:spacing w:before="120"/>
              <w:ind w:left="284" w:hanging="284"/>
              <w:rPr>
                <w:rFonts w:cs="Arial"/>
                <w:b/>
                <w:bCs/>
                <w:i/>
                <w:sz w:val="20"/>
                <w:szCs w:val="20"/>
              </w:rPr>
            </w:pPr>
            <w:r w:rsidRPr="00F657B4">
              <w:rPr>
                <w:rFonts w:cs="Arial"/>
                <w:sz w:val="20"/>
                <w:szCs w:val="20"/>
              </w:rPr>
              <w:t xml:space="preserve">Also </w:t>
            </w:r>
            <w:proofErr w:type="gramStart"/>
            <w:r w:rsidRPr="00F657B4">
              <w:rPr>
                <w:rFonts w:cs="Arial"/>
                <w:sz w:val="20"/>
                <w:szCs w:val="20"/>
              </w:rPr>
              <w:t>notes the NRVs from NHMRC for iron for infants 7-12 months is</w:t>
            </w:r>
            <w:proofErr w:type="gramEnd"/>
            <w:r w:rsidRPr="00F657B4">
              <w:rPr>
                <w:rFonts w:cs="Arial"/>
                <w:sz w:val="20"/>
                <w:szCs w:val="20"/>
              </w:rPr>
              <w:t xml:space="preserve"> 11mg per day (RDI).  Queries how FSANZ intends to adopt the NRVs for Standard 2.9.2 and how an infant ready for solids around 6 months (but not before 4) will be captured via the new NRVs which begin at 7 months.</w:t>
            </w:r>
          </w:p>
        </w:tc>
        <w:tc>
          <w:tcPr>
            <w:tcW w:w="1890" w:type="dxa"/>
            <w:tcBorders>
              <w:left w:val="nil"/>
              <w:right w:val="nil"/>
            </w:tcBorders>
          </w:tcPr>
          <w:p w:rsidR="000C7E7A" w:rsidRDefault="000C7E7A" w:rsidP="005B7635">
            <w:pPr>
              <w:pStyle w:val="BodyTextIndent"/>
              <w:ind w:left="0"/>
              <w:jc w:val="center"/>
              <w:rPr>
                <w:rFonts w:cs="Arial"/>
                <w:bCs/>
                <w:sz w:val="20"/>
                <w:szCs w:val="20"/>
              </w:rPr>
            </w:pPr>
          </w:p>
          <w:p w:rsidR="0090493B" w:rsidRDefault="0090493B" w:rsidP="005B7635">
            <w:pPr>
              <w:pStyle w:val="BodyTextIndent"/>
              <w:ind w:left="0"/>
              <w:jc w:val="center"/>
              <w:rPr>
                <w:rFonts w:cs="Arial"/>
                <w:bCs/>
                <w:sz w:val="20"/>
                <w:szCs w:val="20"/>
              </w:rPr>
            </w:pPr>
          </w:p>
          <w:p w:rsidR="000C7E7A" w:rsidRPr="00F657B4" w:rsidRDefault="000C7E7A" w:rsidP="005B7635">
            <w:pPr>
              <w:pStyle w:val="BodyTextIndent"/>
              <w:ind w:left="0"/>
              <w:jc w:val="center"/>
              <w:rPr>
                <w:rFonts w:cs="Arial"/>
                <w:bCs/>
                <w:sz w:val="20"/>
                <w:szCs w:val="20"/>
              </w:rPr>
            </w:pPr>
            <w:r w:rsidRPr="00F657B4">
              <w:rPr>
                <w:rFonts w:cs="Arial"/>
                <w:bCs/>
                <w:sz w:val="20"/>
                <w:szCs w:val="20"/>
              </w:rPr>
              <w:t>AFGC</w:t>
            </w:r>
          </w:p>
          <w:p w:rsidR="000C7E7A" w:rsidRPr="00F657B4" w:rsidRDefault="000C7E7A" w:rsidP="005B7635">
            <w:pPr>
              <w:pStyle w:val="BodyTextIndent"/>
              <w:ind w:left="0"/>
              <w:jc w:val="center"/>
              <w:rPr>
                <w:rFonts w:cs="Arial"/>
                <w:bCs/>
                <w:sz w:val="20"/>
                <w:szCs w:val="20"/>
              </w:rPr>
            </w:pPr>
          </w:p>
          <w:p w:rsidR="000C7E7A" w:rsidRDefault="000C7E7A" w:rsidP="005B7635">
            <w:pPr>
              <w:pStyle w:val="BodyTextIndent"/>
              <w:ind w:left="0"/>
              <w:jc w:val="center"/>
              <w:rPr>
                <w:rFonts w:cs="Arial"/>
                <w:bCs/>
                <w:sz w:val="20"/>
                <w:szCs w:val="20"/>
              </w:rPr>
            </w:pPr>
          </w:p>
          <w:p w:rsidR="0090493B" w:rsidRPr="00F657B4" w:rsidRDefault="0090493B" w:rsidP="005B7635">
            <w:pPr>
              <w:pStyle w:val="BodyTextIndent"/>
              <w:ind w:left="0"/>
              <w:jc w:val="center"/>
              <w:rPr>
                <w:rFonts w:cs="Arial"/>
                <w:bCs/>
                <w:sz w:val="20"/>
                <w:szCs w:val="20"/>
              </w:rPr>
            </w:pPr>
            <w:r>
              <w:rPr>
                <w:rFonts w:cs="Arial"/>
                <w:bCs/>
                <w:sz w:val="20"/>
                <w:szCs w:val="20"/>
              </w:rPr>
              <w:t>AFGC</w:t>
            </w:r>
          </w:p>
          <w:p w:rsidR="000C7E7A" w:rsidRPr="00F657B4" w:rsidRDefault="000C7E7A" w:rsidP="005B7635">
            <w:pPr>
              <w:pStyle w:val="BodyTextIndent"/>
              <w:ind w:left="0"/>
              <w:jc w:val="center"/>
              <w:rPr>
                <w:rFonts w:cs="Arial"/>
                <w:bCs/>
                <w:sz w:val="20"/>
                <w:szCs w:val="20"/>
              </w:rPr>
            </w:pPr>
          </w:p>
          <w:p w:rsidR="000C7E7A" w:rsidRPr="00F657B4" w:rsidRDefault="000C7E7A" w:rsidP="005B7635">
            <w:pPr>
              <w:pStyle w:val="BodyTextIndent"/>
              <w:ind w:left="0"/>
              <w:jc w:val="center"/>
              <w:rPr>
                <w:rFonts w:cs="Arial"/>
                <w:bCs/>
                <w:sz w:val="20"/>
                <w:szCs w:val="20"/>
              </w:rPr>
            </w:pPr>
          </w:p>
          <w:p w:rsidR="000C7E7A" w:rsidRDefault="0090493B" w:rsidP="0090493B">
            <w:pPr>
              <w:jc w:val="center"/>
              <w:rPr>
                <w:rFonts w:cs="Arial"/>
                <w:sz w:val="20"/>
                <w:szCs w:val="20"/>
              </w:rPr>
            </w:pPr>
            <w:r>
              <w:rPr>
                <w:rFonts w:cs="Arial"/>
                <w:sz w:val="20"/>
                <w:szCs w:val="20"/>
              </w:rPr>
              <w:t>H</w:t>
            </w:r>
            <w:r w:rsidR="000C7E7A" w:rsidRPr="00F657B4">
              <w:rPr>
                <w:rFonts w:cs="Arial"/>
                <w:sz w:val="20"/>
                <w:szCs w:val="20"/>
              </w:rPr>
              <w:t>einz</w:t>
            </w:r>
          </w:p>
          <w:p w:rsidR="0090493B" w:rsidRDefault="0090493B" w:rsidP="0090493B">
            <w:pPr>
              <w:jc w:val="center"/>
              <w:rPr>
                <w:rFonts w:cs="Arial"/>
                <w:sz w:val="20"/>
                <w:szCs w:val="20"/>
              </w:rPr>
            </w:pPr>
          </w:p>
          <w:p w:rsidR="0090493B" w:rsidRDefault="0090493B" w:rsidP="0090493B">
            <w:pPr>
              <w:jc w:val="center"/>
              <w:rPr>
                <w:rFonts w:cs="Arial"/>
                <w:sz w:val="20"/>
                <w:szCs w:val="20"/>
              </w:rPr>
            </w:pPr>
          </w:p>
          <w:p w:rsidR="0090493B" w:rsidRDefault="0090493B" w:rsidP="0090493B">
            <w:pPr>
              <w:jc w:val="center"/>
              <w:rPr>
                <w:rFonts w:cs="Arial"/>
                <w:sz w:val="20"/>
                <w:szCs w:val="20"/>
              </w:rPr>
            </w:pPr>
          </w:p>
          <w:p w:rsidR="0090493B" w:rsidRDefault="0090493B" w:rsidP="0090493B">
            <w:pPr>
              <w:jc w:val="center"/>
              <w:rPr>
                <w:rFonts w:cs="Arial"/>
                <w:sz w:val="20"/>
                <w:szCs w:val="20"/>
              </w:rPr>
            </w:pPr>
          </w:p>
          <w:p w:rsidR="0090493B" w:rsidRPr="00F657B4" w:rsidDel="00BC5624" w:rsidRDefault="0090493B" w:rsidP="0090493B">
            <w:pPr>
              <w:jc w:val="center"/>
              <w:rPr>
                <w:rFonts w:cs="Arial"/>
                <w:bCs/>
                <w:sz w:val="20"/>
                <w:szCs w:val="20"/>
              </w:rPr>
            </w:pPr>
            <w:r>
              <w:rPr>
                <w:rFonts w:cs="Arial"/>
                <w:sz w:val="20"/>
                <w:szCs w:val="20"/>
              </w:rPr>
              <w:t>H</w:t>
            </w:r>
            <w:r w:rsidRPr="00F657B4">
              <w:rPr>
                <w:rFonts w:cs="Arial"/>
                <w:sz w:val="20"/>
                <w:szCs w:val="20"/>
              </w:rPr>
              <w:t>einz</w:t>
            </w:r>
          </w:p>
        </w:tc>
        <w:tc>
          <w:tcPr>
            <w:tcW w:w="4500" w:type="dxa"/>
            <w:tcBorders>
              <w:left w:val="nil"/>
            </w:tcBorders>
          </w:tcPr>
          <w:p w:rsidR="000C7E7A" w:rsidRDefault="000C7E7A" w:rsidP="00CD23B8">
            <w:pPr>
              <w:rPr>
                <w:rFonts w:cs="Arial"/>
                <w:sz w:val="20"/>
                <w:szCs w:val="20"/>
              </w:rPr>
            </w:pPr>
          </w:p>
          <w:p w:rsidR="000C7E7A" w:rsidRPr="00F657B4" w:rsidRDefault="000C7E7A" w:rsidP="00A20C72">
            <w:pPr>
              <w:spacing w:before="120"/>
              <w:rPr>
                <w:rFonts w:cs="Arial"/>
                <w:sz w:val="20"/>
                <w:szCs w:val="20"/>
              </w:rPr>
            </w:pPr>
            <w:r w:rsidRPr="00F657B4">
              <w:rPr>
                <w:rFonts w:cs="Arial"/>
                <w:sz w:val="20"/>
                <w:szCs w:val="20"/>
              </w:rPr>
              <w:t>See SD2</w:t>
            </w:r>
          </w:p>
          <w:p w:rsidR="000C7E7A" w:rsidRPr="00F657B4" w:rsidRDefault="000C7E7A" w:rsidP="00CD23B8">
            <w:pPr>
              <w:rPr>
                <w:rFonts w:cs="Arial"/>
                <w:sz w:val="20"/>
                <w:szCs w:val="20"/>
              </w:rPr>
            </w:pPr>
          </w:p>
          <w:p w:rsidR="000C7E7A" w:rsidRPr="00F657B4" w:rsidRDefault="000C7E7A" w:rsidP="00CD23B8">
            <w:pPr>
              <w:rPr>
                <w:rFonts w:cs="Arial"/>
                <w:sz w:val="20"/>
                <w:szCs w:val="20"/>
              </w:rPr>
            </w:pPr>
          </w:p>
          <w:p w:rsidR="000C7E7A" w:rsidRPr="00F657B4" w:rsidRDefault="000C7E7A" w:rsidP="00CD23B8">
            <w:pPr>
              <w:rPr>
                <w:rFonts w:cs="Arial"/>
                <w:sz w:val="20"/>
                <w:szCs w:val="20"/>
              </w:rPr>
            </w:pPr>
          </w:p>
          <w:p w:rsidR="000C7E7A" w:rsidRPr="00F657B4" w:rsidRDefault="000C7E7A" w:rsidP="00CD23B8">
            <w:pPr>
              <w:rPr>
                <w:rFonts w:cs="Arial"/>
                <w:sz w:val="20"/>
                <w:szCs w:val="20"/>
              </w:rPr>
            </w:pPr>
          </w:p>
          <w:p w:rsidR="000C7E7A" w:rsidRPr="00F657B4" w:rsidRDefault="000C7E7A" w:rsidP="00CD23B8">
            <w:pPr>
              <w:rPr>
                <w:rFonts w:cs="Arial"/>
                <w:sz w:val="20"/>
                <w:szCs w:val="20"/>
              </w:rPr>
            </w:pPr>
          </w:p>
          <w:p w:rsidR="000C7E7A" w:rsidRPr="00F657B4" w:rsidRDefault="000C7E7A" w:rsidP="00CD23B8">
            <w:pPr>
              <w:rPr>
                <w:rFonts w:cs="Arial"/>
                <w:sz w:val="20"/>
                <w:szCs w:val="20"/>
              </w:rPr>
            </w:pPr>
          </w:p>
          <w:p w:rsidR="000C7E7A" w:rsidRPr="00F657B4" w:rsidRDefault="000C7E7A" w:rsidP="00CD23B8">
            <w:pPr>
              <w:rPr>
                <w:rFonts w:cs="Arial"/>
                <w:sz w:val="20"/>
                <w:szCs w:val="20"/>
              </w:rPr>
            </w:pPr>
          </w:p>
          <w:p w:rsidR="000C7E7A" w:rsidRPr="00F657B4" w:rsidRDefault="000C7E7A" w:rsidP="00CD23B8">
            <w:pPr>
              <w:rPr>
                <w:rFonts w:cs="Arial"/>
                <w:sz w:val="20"/>
                <w:szCs w:val="20"/>
              </w:rPr>
            </w:pPr>
          </w:p>
          <w:p w:rsidR="000C7E7A" w:rsidRPr="00F657B4" w:rsidRDefault="000C7E7A" w:rsidP="00CD23B8">
            <w:pPr>
              <w:rPr>
                <w:rFonts w:cs="Arial"/>
                <w:sz w:val="20"/>
                <w:szCs w:val="20"/>
              </w:rPr>
            </w:pPr>
          </w:p>
          <w:p w:rsidR="000C7E7A" w:rsidRPr="00F657B4" w:rsidRDefault="000C7E7A" w:rsidP="00CD23B8">
            <w:pPr>
              <w:rPr>
                <w:rFonts w:cs="Arial"/>
                <w:sz w:val="20"/>
                <w:szCs w:val="20"/>
              </w:rPr>
            </w:pPr>
          </w:p>
          <w:p w:rsidR="000C7E7A" w:rsidRPr="00F657B4" w:rsidRDefault="000C7E7A" w:rsidP="00CD23B8">
            <w:pPr>
              <w:rPr>
                <w:rFonts w:cs="Arial"/>
                <w:sz w:val="20"/>
                <w:szCs w:val="20"/>
              </w:rPr>
            </w:pPr>
          </w:p>
          <w:p w:rsidR="000C7E7A" w:rsidRPr="00F657B4" w:rsidRDefault="000C7E7A" w:rsidP="00CD23B8">
            <w:pPr>
              <w:rPr>
                <w:rFonts w:cs="Arial"/>
                <w:sz w:val="20"/>
                <w:szCs w:val="20"/>
              </w:rPr>
            </w:pPr>
          </w:p>
          <w:p w:rsidR="000C7E7A" w:rsidRPr="00F657B4" w:rsidRDefault="000C7E7A" w:rsidP="00CD23B8">
            <w:pPr>
              <w:rPr>
                <w:rFonts w:cs="Arial"/>
                <w:sz w:val="20"/>
                <w:szCs w:val="20"/>
              </w:rPr>
            </w:pPr>
          </w:p>
          <w:p w:rsidR="000C7E7A" w:rsidRDefault="000C7E7A" w:rsidP="00CD23B8">
            <w:pPr>
              <w:rPr>
                <w:rFonts w:cs="Arial"/>
                <w:sz w:val="20"/>
                <w:szCs w:val="20"/>
              </w:rPr>
            </w:pPr>
          </w:p>
          <w:p w:rsidR="000C7E7A" w:rsidRDefault="000C7E7A" w:rsidP="00CD23B8">
            <w:pPr>
              <w:rPr>
                <w:rFonts w:cs="Arial"/>
                <w:sz w:val="20"/>
                <w:szCs w:val="20"/>
              </w:rPr>
            </w:pPr>
          </w:p>
          <w:p w:rsidR="000C7E7A" w:rsidRPr="00F657B4" w:rsidRDefault="000C7E7A" w:rsidP="00CD23B8">
            <w:pPr>
              <w:rPr>
                <w:rFonts w:cs="Arial"/>
                <w:sz w:val="20"/>
                <w:szCs w:val="20"/>
              </w:rPr>
            </w:pPr>
            <w:r w:rsidRPr="00F657B4">
              <w:rPr>
                <w:rFonts w:cs="Arial"/>
                <w:sz w:val="20"/>
                <w:szCs w:val="20"/>
              </w:rPr>
              <w:t>FSANZ is considering the regulatory NRVs as a separate project. It is out of scope of Proposal P274.</w:t>
            </w:r>
          </w:p>
        </w:tc>
      </w:tr>
      <w:tr w:rsidR="000C7E7A" w:rsidRPr="00F657B4" w:rsidTr="0090493B">
        <w:trPr>
          <w:cantSplit/>
        </w:trPr>
        <w:tc>
          <w:tcPr>
            <w:tcW w:w="7668" w:type="dxa"/>
            <w:tcBorders>
              <w:right w:val="nil"/>
            </w:tcBorders>
            <w:shd w:val="clear" w:color="auto" w:fill="E6EED5"/>
          </w:tcPr>
          <w:p w:rsidR="000C7E7A" w:rsidRPr="00F657B4" w:rsidRDefault="000C7E7A" w:rsidP="00CD23B8">
            <w:pPr>
              <w:pStyle w:val="BodyTextIndent"/>
              <w:spacing w:before="120"/>
              <w:ind w:left="0"/>
              <w:rPr>
                <w:rFonts w:cs="Arial"/>
                <w:b/>
                <w:bCs/>
                <w:i/>
                <w:sz w:val="20"/>
                <w:szCs w:val="20"/>
              </w:rPr>
            </w:pPr>
            <w:r w:rsidRPr="00F657B4">
              <w:rPr>
                <w:rFonts w:cs="Arial"/>
                <w:b/>
                <w:i/>
                <w:sz w:val="20"/>
                <w:szCs w:val="20"/>
              </w:rPr>
              <w:lastRenderedPageBreak/>
              <w:t>Impact on nutritional status</w:t>
            </w:r>
          </w:p>
          <w:p w:rsidR="000C7E7A" w:rsidRPr="00F657B4" w:rsidRDefault="000C7E7A" w:rsidP="00CD23B8">
            <w:pPr>
              <w:rPr>
                <w:rFonts w:cs="Arial"/>
                <w:b/>
                <w:bCs/>
                <w:sz w:val="20"/>
                <w:szCs w:val="20"/>
              </w:rPr>
            </w:pPr>
            <w:r w:rsidRPr="00F657B4">
              <w:rPr>
                <w:rFonts w:cs="Arial"/>
                <w:sz w:val="20"/>
                <w:szCs w:val="20"/>
              </w:rPr>
              <w:t>If complementary foods are introduced at 6 or 7 months, then introduced sequentially over time this could affect nutritional status e.g. meat based foods may be delayed until 9</w:t>
            </w:r>
            <w:r w:rsidR="00F96B80">
              <w:rPr>
                <w:rFonts w:cs="Arial"/>
                <w:sz w:val="20"/>
                <w:szCs w:val="20"/>
              </w:rPr>
              <w:t>–</w:t>
            </w:r>
            <w:r w:rsidRPr="00F657B4">
              <w:rPr>
                <w:rFonts w:cs="Arial"/>
                <w:sz w:val="20"/>
                <w:szCs w:val="20"/>
              </w:rPr>
              <w:t xml:space="preserve">10 months impacting negatively on iron and zinc intake. </w:t>
            </w:r>
          </w:p>
          <w:p w:rsidR="00D501DC" w:rsidRDefault="00D501DC" w:rsidP="00CD23B8">
            <w:pPr>
              <w:rPr>
                <w:rFonts w:cs="Arial"/>
                <w:sz w:val="20"/>
                <w:szCs w:val="20"/>
              </w:rPr>
            </w:pPr>
          </w:p>
          <w:p w:rsidR="000C7E7A" w:rsidRPr="00F657B4" w:rsidRDefault="000C7E7A" w:rsidP="00CD23B8">
            <w:pPr>
              <w:rPr>
                <w:rFonts w:cs="Arial"/>
                <w:b/>
                <w:bCs/>
                <w:sz w:val="20"/>
                <w:szCs w:val="20"/>
              </w:rPr>
            </w:pPr>
            <w:r w:rsidRPr="00F657B4">
              <w:rPr>
                <w:rFonts w:cs="Arial"/>
                <w:sz w:val="20"/>
                <w:szCs w:val="20"/>
              </w:rPr>
              <w:t>This c</w:t>
            </w:r>
            <w:r w:rsidRPr="00F657B4">
              <w:rPr>
                <w:rFonts w:cs="Arial"/>
                <w:bCs/>
                <w:sz w:val="20"/>
                <w:szCs w:val="20"/>
              </w:rPr>
              <w:t>ould also affect energy intake, food variety and oral stimulation for language development.</w:t>
            </w:r>
          </w:p>
          <w:p w:rsidR="00D501DC" w:rsidRDefault="00D501DC" w:rsidP="00CD23B8">
            <w:pPr>
              <w:rPr>
                <w:rFonts w:cs="Arial"/>
                <w:bCs/>
                <w:sz w:val="20"/>
                <w:szCs w:val="20"/>
              </w:rPr>
            </w:pPr>
          </w:p>
          <w:p w:rsidR="000C7E7A" w:rsidRPr="00F657B4" w:rsidRDefault="000C7E7A" w:rsidP="00CD23B8">
            <w:pPr>
              <w:rPr>
                <w:rFonts w:cs="Arial"/>
                <w:b/>
                <w:bCs/>
                <w:sz w:val="20"/>
                <w:szCs w:val="20"/>
              </w:rPr>
            </w:pPr>
            <w:r w:rsidRPr="00F657B4">
              <w:rPr>
                <w:rFonts w:cs="Arial"/>
                <w:bCs/>
                <w:sz w:val="20"/>
                <w:szCs w:val="20"/>
              </w:rPr>
              <w:t>Considers the issue has not been addressed for exclusively infant formula fed infants (or fully breastfed infants) in the PFAR.</w:t>
            </w:r>
          </w:p>
        </w:tc>
        <w:tc>
          <w:tcPr>
            <w:tcW w:w="1890" w:type="dxa"/>
            <w:tcBorders>
              <w:left w:val="nil"/>
              <w:right w:val="nil"/>
            </w:tcBorders>
            <w:shd w:val="clear" w:color="auto" w:fill="E6EED5"/>
          </w:tcPr>
          <w:p w:rsidR="000C7E7A" w:rsidRDefault="000C7E7A" w:rsidP="005B7635">
            <w:pPr>
              <w:jc w:val="center"/>
              <w:rPr>
                <w:rFonts w:cs="Arial"/>
                <w:bCs/>
                <w:sz w:val="20"/>
                <w:szCs w:val="20"/>
              </w:rPr>
            </w:pPr>
          </w:p>
          <w:p w:rsidR="000C7E7A" w:rsidRDefault="000C7E7A" w:rsidP="005B7635">
            <w:pPr>
              <w:jc w:val="center"/>
              <w:rPr>
                <w:rFonts w:cs="Arial"/>
                <w:bCs/>
                <w:sz w:val="20"/>
                <w:szCs w:val="20"/>
              </w:rPr>
            </w:pPr>
          </w:p>
          <w:p w:rsidR="000C7E7A" w:rsidRPr="00F657B4" w:rsidRDefault="000C7E7A" w:rsidP="005B7635">
            <w:pPr>
              <w:jc w:val="center"/>
              <w:rPr>
                <w:rFonts w:cs="Arial"/>
                <w:bCs/>
                <w:sz w:val="20"/>
                <w:szCs w:val="20"/>
              </w:rPr>
            </w:pPr>
            <w:r w:rsidRPr="00F657B4">
              <w:rPr>
                <w:rFonts w:cs="Arial"/>
                <w:bCs/>
                <w:sz w:val="20"/>
                <w:szCs w:val="20"/>
              </w:rPr>
              <w:t>H</w:t>
            </w:r>
            <w:r w:rsidR="000E5409">
              <w:rPr>
                <w:rFonts w:cs="Arial"/>
                <w:bCs/>
                <w:sz w:val="20"/>
                <w:szCs w:val="20"/>
              </w:rPr>
              <w:t>einz</w:t>
            </w:r>
          </w:p>
          <w:p w:rsidR="000C7E7A" w:rsidRPr="00F657B4" w:rsidRDefault="000C7E7A" w:rsidP="005B7635">
            <w:pPr>
              <w:jc w:val="center"/>
              <w:rPr>
                <w:rFonts w:cs="Arial"/>
                <w:bCs/>
                <w:sz w:val="20"/>
                <w:szCs w:val="20"/>
              </w:rPr>
            </w:pPr>
          </w:p>
          <w:p w:rsidR="000C7E7A" w:rsidRPr="00F657B4" w:rsidRDefault="000C7E7A" w:rsidP="005B7635">
            <w:pPr>
              <w:jc w:val="center"/>
              <w:rPr>
                <w:rFonts w:cs="Arial"/>
                <w:bCs/>
                <w:sz w:val="20"/>
                <w:szCs w:val="20"/>
              </w:rPr>
            </w:pPr>
          </w:p>
          <w:p w:rsidR="000C7E7A" w:rsidRPr="00F657B4" w:rsidRDefault="000C7E7A" w:rsidP="005B7635">
            <w:pPr>
              <w:jc w:val="center"/>
              <w:rPr>
                <w:rFonts w:cs="Arial"/>
                <w:bCs/>
                <w:sz w:val="20"/>
                <w:szCs w:val="20"/>
              </w:rPr>
            </w:pPr>
          </w:p>
          <w:p w:rsidR="000C7E7A" w:rsidRPr="00F657B4" w:rsidRDefault="000C7E7A" w:rsidP="005B7635">
            <w:pPr>
              <w:jc w:val="center"/>
              <w:rPr>
                <w:rFonts w:cs="Arial"/>
                <w:bCs/>
                <w:sz w:val="20"/>
                <w:szCs w:val="20"/>
              </w:rPr>
            </w:pPr>
            <w:r>
              <w:rPr>
                <w:rFonts w:cs="Arial"/>
                <w:bCs/>
                <w:sz w:val="20"/>
                <w:szCs w:val="20"/>
              </w:rPr>
              <w:t>NZD</w:t>
            </w:r>
            <w:r w:rsidRPr="00F657B4">
              <w:rPr>
                <w:rFonts w:cs="Arial"/>
                <w:bCs/>
                <w:sz w:val="20"/>
                <w:szCs w:val="20"/>
              </w:rPr>
              <w:t>A</w:t>
            </w:r>
          </w:p>
          <w:p w:rsidR="000C7E7A" w:rsidRPr="00F657B4" w:rsidRDefault="000C7E7A" w:rsidP="005B7635">
            <w:pPr>
              <w:jc w:val="center"/>
              <w:rPr>
                <w:rFonts w:cs="Arial"/>
                <w:bCs/>
                <w:sz w:val="20"/>
                <w:szCs w:val="20"/>
              </w:rPr>
            </w:pPr>
          </w:p>
          <w:p w:rsidR="00D501DC" w:rsidRDefault="00D501DC" w:rsidP="005B7635">
            <w:pPr>
              <w:jc w:val="center"/>
              <w:rPr>
                <w:rFonts w:cs="Arial"/>
                <w:bCs/>
                <w:sz w:val="20"/>
                <w:szCs w:val="20"/>
              </w:rPr>
            </w:pPr>
          </w:p>
          <w:p w:rsidR="000C7E7A" w:rsidRPr="00F657B4" w:rsidRDefault="000C7E7A" w:rsidP="005B7635">
            <w:pPr>
              <w:jc w:val="center"/>
              <w:rPr>
                <w:rFonts w:cs="Arial"/>
                <w:b/>
                <w:bCs/>
                <w:sz w:val="20"/>
                <w:szCs w:val="20"/>
              </w:rPr>
            </w:pPr>
            <w:r w:rsidRPr="00F657B4">
              <w:rPr>
                <w:rFonts w:cs="Arial"/>
                <w:bCs/>
                <w:sz w:val="20"/>
                <w:szCs w:val="20"/>
              </w:rPr>
              <w:t>Nestl</w:t>
            </w:r>
            <w:r w:rsidR="000E5409">
              <w:rPr>
                <w:rFonts w:cs="Arial"/>
                <w:bCs/>
                <w:sz w:val="20"/>
                <w:szCs w:val="20"/>
              </w:rPr>
              <w:t>é</w:t>
            </w:r>
          </w:p>
        </w:tc>
        <w:tc>
          <w:tcPr>
            <w:tcW w:w="4500" w:type="dxa"/>
            <w:tcBorders>
              <w:left w:val="nil"/>
            </w:tcBorders>
            <w:shd w:val="clear" w:color="auto" w:fill="E6EED5"/>
          </w:tcPr>
          <w:p w:rsidR="000C7E7A" w:rsidRDefault="000C7E7A" w:rsidP="00CD23B8">
            <w:pPr>
              <w:rPr>
                <w:rFonts w:cs="Arial"/>
                <w:sz w:val="20"/>
                <w:szCs w:val="20"/>
              </w:rPr>
            </w:pPr>
          </w:p>
          <w:p w:rsidR="00D501DC" w:rsidRDefault="00D501DC" w:rsidP="00CD23B8">
            <w:pPr>
              <w:rPr>
                <w:rFonts w:cs="Arial"/>
                <w:sz w:val="20"/>
                <w:szCs w:val="20"/>
              </w:rPr>
            </w:pPr>
          </w:p>
          <w:p w:rsidR="000C7E7A" w:rsidRPr="00F657B4" w:rsidRDefault="000C7E7A" w:rsidP="00CD23B8">
            <w:pPr>
              <w:rPr>
                <w:rFonts w:cs="Arial"/>
                <w:sz w:val="20"/>
                <w:szCs w:val="20"/>
              </w:rPr>
            </w:pPr>
            <w:r w:rsidRPr="00F657B4">
              <w:rPr>
                <w:rFonts w:cs="Arial"/>
                <w:sz w:val="20"/>
                <w:szCs w:val="20"/>
              </w:rPr>
              <w:t>See SD1</w:t>
            </w:r>
          </w:p>
        </w:tc>
      </w:tr>
      <w:tr w:rsidR="000C7E7A" w:rsidRPr="00F657B4" w:rsidTr="0090493B">
        <w:trPr>
          <w:cantSplit/>
        </w:trPr>
        <w:tc>
          <w:tcPr>
            <w:tcW w:w="7668" w:type="dxa"/>
            <w:tcBorders>
              <w:right w:val="nil"/>
            </w:tcBorders>
          </w:tcPr>
          <w:p w:rsidR="000C7E7A" w:rsidRPr="005C7B39" w:rsidRDefault="000C7E7A" w:rsidP="00CD23B8">
            <w:pPr>
              <w:pStyle w:val="BodyTextIndent"/>
              <w:spacing w:before="120"/>
              <w:ind w:left="0"/>
              <w:rPr>
                <w:rFonts w:cs="Arial"/>
                <w:b/>
                <w:i/>
                <w:sz w:val="20"/>
                <w:szCs w:val="20"/>
              </w:rPr>
            </w:pPr>
            <w:r w:rsidRPr="005C7B39">
              <w:rPr>
                <w:rFonts w:cs="Arial"/>
                <w:b/>
                <w:i/>
                <w:sz w:val="20"/>
                <w:szCs w:val="20"/>
              </w:rPr>
              <w:t>Transition period</w:t>
            </w:r>
          </w:p>
          <w:p w:rsidR="006F71FE" w:rsidRPr="006F71FE" w:rsidRDefault="000C7E7A" w:rsidP="00F96B80">
            <w:pPr>
              <w:pStyle w:val="BodyTextIndent"/>
              <w:spacing w:before="120"/>
              <w:ind w:left="0"/>
              <w:rPr>
                <w:rFonts w:cs="Arial"/>
                <w:sz w:val="20"/>
                <w:szCs w:val="20"/>
              </w:rPr>
            </w:pPr>
            <w:r w:rsidRPr="005C7B39">
              <w:rPr>
                <w:rFonts w:cs="Arial"/>
                <w:sz w:val="20"/>
                <w:szCs w:val="20"/>
              </w:rPr>
              <w:t>Requested a 2</w:t>
            </w:r>
            <w:r w:rsidR="00F96B80">
              <w:rPr>
                <w:rFonts w:cs="Arial"/>
                <w:sz w:val="20"/>
                <w:szCs w:val="20"/>
              </w:rPr>
              <w:t>-</w:t>
            </w:r>
            <w:r w:rsidRPr="005C7B39">
              <w:rPr>
                <w:rFonts w:cs="Arial"/>
                <w:sz w:val="20"/>
                <w:szCs w:val="20"/>
              </w:rPr>
              <w:t>year transition period if a change to labelling be required. Does not support a 24</w:t>
            </w:r>
            <w:r w:rsidR="00F96B80">
              <w:rPr>
                <w:rFonts w:cs="Arial"/>
                <w:sz w:val="20"/>
                <w:szCs w:val="20"/>
              </w:rPr>
              <w:t>-</w:t>
            </w:r>
            <w:r w:rsidRPr="005C7B39">
              <w:rPr>
                <w:rFonts w:cs="Arial"/>
                <w:sz w:val="20"/>
                <w:szCs w:val="20"/>
              </w:rPr>
              <w:t>month period and recognises 18 months is a compromise.</w:t>
            </w:r>
          </w:p>
        </w:tc>
        <w:tc>
          <w:tcPr>
            <w:tcW w:w="1890" w:type="dxa"/>
            <w:tcBorders>
              <w:left w:val="nil"/>
              <w:right w:val="nil"/>
            </w:tcBorders>
          </w:tcPr>
          <w:p w:rsidR="000C7E7A" w:rsidRDefault="000C7E7A" w:rsidP="005B7635">
            <w:pPr>
              <w:jc w:val="center"/>
              <w:rPr>
                <w:rFonts w:cs="Arial"/>
                <w:bCs/>
                <w:sz w:val="20"/>
                <w:szCs w:val="20"/>
              </w:rPr>
            </w:pPr>
          </w:p>
          <w:p w:rsidR="006578AB" w:rsidRPr="00F657B4" w:rsidRDefault="006578AB" w:rsidP="005B7635">
            <w:pPr>
              <w:jc w:val="center"/>
              <w:rPr>
                <w:rFonts w:cs="Arial"/>
                <w:bCs/>
                <w:sz w:val="20"/>
                <w:szCs w:val="20"/>
              </w:rPr>
            </w:pPr>
          </w:p>
          <w:p w:rsidR="000C7E7A" w:rsidRDefault="000C7E7A" w:rsidP="005B7635">
            <w:pPr>
              <w:jc w:val="center"/>
              <w:rPr>
                <w:rFonts w:cs="Arial"/>
                <w:bCs/>
                <w:sz w:val="20"/>
                <w:szCs w:val="20"/>
              </w:rPr>
            </w:pPr>
            <w:r w:rsidRPr="00F657B4">
              <w:rPr>
                <w:rFonts w:cs="Arial"/>
                <w:bCs/>
                <w:sz w:val="20"/>
                <w:szCs w:val="20"/>
              </w:rPr>
              <w:t>Heinz</w:t>
            </w:r>
            <w:r w:rsidR="00CA0D1F">
              <w:rPr>
                <w:rFonts w:cs="Arial"/>
                <w:bCs/>
                <w:sz w:val="20"/>
                <w:szCs w:val="20"/>
              </w:rPr>
              <w:t>,</w:t>
            </w:r>
          </w:p>
          <w:p w:rsidR="000C7E7A" w:rsidRPr="00F657B4" w:rsidRDefault="00391E6A" w:rsidP="00391E6A">
            <w:pPr>
              <w:jc w:val="center"/>
              <w:rPr>
                <w:rFonts w:cs="Arial"/>
                <w:b/>
                <w:bCs/>
                <w:sz w:val="20"/>
                <w:szCs w:val="20"/>
              </w:rPr>
            </w:pPr>
            <w:r>
              <w:rPr>
                <w:rFonts w:cs="Arial"/>
                <w:bCs/>
                <w:sz w:val="20"/>
                <w:szCs w:val="20"/>
              </w:rPr>
              <w:t xml:space="preserve">QLD </w:t>
            </w:r>
            <w:r w:rsidR="000F3A24">
              <w:rPr>
                <w:rFonts w:cs="Arial"/>
                <w:bCs/>
                <w:sz w:val="20"/>
                <w:szCs w:val="20"/>
              </w:rPr>
              <w:t xml:space="preserve">Health </w:t>
            </w:r>
          </w:p>
        </w:tc>
        <w:tc>
          <w:tcPr>
            <w:tcW w:w="4500" w:type="dxa"/>
            <w:tcBorders>
              <w:left w:val="nil"/>
            </w:tcBorders>
          </w:tcPr>
          <w:p w:rsidR="000C7E7A" w:rsidRDefault="000C7E7A" w:rsidP="00CD23B8">
            <w:pPr>
              <w:rPr>
                <w:rFonts w:cs="Arial"/>
                <w:sz w:val="20"/>
                <w:szCs w:val="20"/>
              </w:rPr>
            </w:pPr>
          </w:p>
          <w:p w:rsidR="006578AB" w:rsidRDefault="006578AB" w:rsidP="00CD23B8">
            <w:pPr>
              <w:rPr>
                <w:rFonts w:cs="Arial"/>
                <w:sz w:val="20"/>
                <w:szCs w:val="20"/>
              </w:rPr>
            </w:pPr>
          </w:p>
          <w:p w:rsidR="000C7E7A" w:rsidRPr="00F657B4" w:rsidRDefault="000C7E7A" w:rsidP="00CD23B8">
            <w:pPr>
              <w:rPr>
                <w:rFonts w:cs="Arial"/>
                <w:sz w:val="20"/>
                <w:szCs w:val="20"/>
              </w:rPr>
            </w:pPr>
            <w:r w:rsidRPr="00F657B4">
              <w:rPr>
                <w:rFonts w:cs="Arial"/>
                <w:sz w:val="20"/>
                <w:szCs w:val="20"/>
              </w:rPr>
              <w:t>See SD2 and Section 7 of this Paper.</w:t>
            </w:r>
          </w:p>
        </w:tc>
      </w:tr>
      <w:tr w:rsidR="000C7E7A" w:rsidRPr="00F657B4" w:rsidTr="0090493B">
        <w:trPr>
          <w:cantSplit/>
        </w:trPr>
        <w:tc>
          <w:tcPr>
            <w:tcW w:w="7668" w:type="dxa"/>
            <w:tcBorders>
              <w:right w:val="nil"/>
            </w:tcBorders>
            <w:shd w:val="clear" w:color="auto" w:fill="E6EED5"/>
          </w:tcPr>
          <w:p w:rsidR="000C7E7A" w:rsidRPr="00F657B4" w:rsidRDefault="000C7E7A" w:rsidP="00CD23B8">
            <w:pPr>
              <w:pStyle w:val="BodyTextIndent"/>
              <w:ind w:left="0"/>
              <w:rPr>
                <w:rFonts w:cs="Arial"/>
                <w:b/>
                <w:bCs/>
                <w:i/>
                <w:sz w:val="20"/>
                <w:szCs w:val="20"/>
              </w:rPr>
            </w:pPr>
            <w:r w:rsidRPr="00F657B4">
              <w:rPr>
                <w:rFonts w:cs="Arial"/>
                <w:b/>
                <w:bCs/>
                <w:i/>
                <w:sz w:val="20"/>
                <w:szCs w:val="20"/>
              </w:rPr>
              <w:t>Education</w:t>
            </w:r>
          </w:p>
          <w:p w:rsidR="000C7E7A" w:rsidRPr="00F657B4" w:rsidRDefault="000C7E7A" w:rsidP="00CD23B8">
            <w:pPr>
              <w:pStyle w:val="BodyTextIndent"/>
              <w:spacing w:before="120"/>
              <w:ind w:left="0"/>
              <w:rPr>
                <w:rFonts w:cs="Arial"/>
                <w:b/>
                <w:bCs/>
                <w:sz w:val="20"/>
                <w:szCs w:val="20"/>
              </w:rPr>
            </w:pPr>
            <w:r w:rsidRPr="00F657B4">
              <w:rPr>
                <w:rFonts w:cs="Arial"/>
                <w:bCs/>
                <w:sz w:val="20"/>
                <w:szCs w:val="20"/>
              </w:rPr>
              <w:t>Considers education through health professionals on a 1-1 basis is a better use of funds.</w:t>
            </w:r>
          </w:p>
          <w:p w:rsidR="000C7E7A" w:rsidRPr="00F657B4" w:rsidRDefault="000C7E7A" w:rsidP="00CD23B8">
            <w:pPr>
              <w:pStyle w:val="BodyTextIndent"/>
              <w:spacing w:before="120"/>
              <w:ind w:left="0"/>
              <w:rPr>
                <w:rFonts w:cs="Arial"/>
                <w:b/>
                <w:bCs/>
                <w:sz w:val="20"/>
                <w:szCs w:val="20"/>
              </w:rPr>
            </w:pPr>
            <w:r w:rsidRPr="00F657B4">
              <w:rPr>
                <w:rFonts w:cs="Arial"/>
                <w:bCs/>
                <w:sz w:val="20"/>
                <w:szCs w:val="20"/>
              </w:rPr>
              <w:t xml:space="preserve">Recommends an education strategy for consumers and health professionals including information about the labelling changes. </w:t>
            </w:r>
          </w:p>
          <w:p w:rsidR="000C7E7A" w:rsidRPr="00F657B4" w:rsidRDefault="000C7E7A" w:rsidP="00953FA5">
            <w:pPr>
              <w:rPr>
                <w:rFonts w:cs="Arial"/>
                <w:b/>
                <w:bCs/>
                <w:sz w:val="20"/>
                <w:szCs w:val="20"/>
              </w:rPr>
            </w:pPr>
            <w:r w:rsidRPr="00F657B4">
              <w:rPr>
                <w:rFonts w:cs="Arial"/>
                <w:bCs/>
                <w:sz w:val="20"/>
                <w:szCs w:val="20"/>
              </w:rPr>
              <w:t>Suggests it would be more cost effective for the Commonwealth Department of Health and Ageing to produce (or contract out) consumer and health professional information nationally to avoid duplication of resources and effort.</w:t>
            </w:r>
          </w:p>
        </w:tc>
        <w:tc>
          <w:tcPr>
            <w:tcW w:w="1890" w:type="dxa"/>
            <w:tcBorders>
              <w:left w:val="nil"/>
              <w:right w:val="nil"/>
            </w:tcBorders>
            <w:shd w:val="clear" w:color="auto" w:fill="E6EED5"/>
          </w:tcPr>
          <w:p w:rsidR="000C7E7A" w:rsidRPr="00F657B4" w:rsidRDefault="000C7E7A" w:rsidP="005B7635">
            <w:pPr>
              <w:pStyle w:val="BodyTextIndent"/>
              <w:ind w:left="0"/>
              <w:jc w:val="center"/>
              <w:rPr>
                <w:rFonts w:cs="Arial"/>
                <w:sz w:val="20"/>
                <w:szCs w:val="20"/>
              </w:rPr>
            </w:pPr>
          </w:p>
          <w:p w:rsidR="000C7E7A" w:rsidRPr="00F657B4" w:rsidRDefault="000C7E7A" w:rsidP="005B7635">
            <w:pPr>
              <w:pStyle w:val="BodyTextIndent"/>
              <w:ind w:left="0"/>
              <w:jc w:val="center"/>
              <w:rPr>
                <w:rFonts w:cs="Arial"/>
                <w:sz w:val="20"/>
                <w:szCs w:val="20"/>
              </w:rPr>
            </w:pPr>
            <w:r w:rsidRPr="00F657B4">
              <w:rPr>
                <w:rFonts w:cs="Arial"/>
                <w:sz w:val="20"/>
                <w:szCs w:val="20"/>
              </w:rPr>
              <w:t>FTAA</w:t>
            </w:r>
          </w:p>
          <w:p w:rsidR="000C7E7A" w:rsidRPr="00F657B4" w:rsidRDefault="000C7E7A" w:rsidP="005B7635">
            <w:pPr>
              <w:pStyle w:val="BodyTextIndent"/>
              <w:ind w:left="0"/>
              <w:jc w:val="center"/>
              <w:rPr>
                <w:rFonts w:cs="Arial"/>
                <w:sz w:val="20"/>
                <w:szCs w:val="20"/>
              </w:rPr>
            </w:pPr>
          </w:p>
          <w:p w:rsidR="006F71FE" w:rsidRDefault="006F71FE" w:rsidP="005B7635">
            <w:pPr>
              <w:pStyle w:val="BodyTextIndent"/>
              <w:ind w:left="0"/>
              <w:jc w:val="center"/>
              <w:rPr>
                <w:rFonts w:cs="Arial"/>
                <w:sz w:val="20"/>
                <w:szCs w:val="20"/>
              </w:rPr>
            </w:pPr>
          </w:p>
          <w:p w:rsidR="000C7E7A" w:rsidRPr="00F657B4" w:rsidRDefault="005B7635" w:rsidP="005B7635">
            <w:pPr>
              <w:pStyle w:val="BodyTextIndent"/>
              <w:ind w:left="0"/>
              <w:jc w:val="center"/>
              <w:rPr>
                <w:rFonts w:cs="Arial"/>
                <w:b/>
                <w:bCs/>
                <w:sz w:val="20"/>
                <w:szCs w:val="20"/>
              </w:rPr>
            </w:pPr>
            <w:r>
              <w:rPr>
                <w:rFonts w:cs="Arial"/>
                <w:sz w:val="20"/>
                <w:szCs w:val="20"/>
              </w:rPr>
              <w:t xml:space="preserve">DHS </w:t>
            </w:r>
            <w:r w:rsidR="000C7E7A" w:rsidRPr="00F657B4">
              <w:rPr>
                <w:rFonts w:cs="Arial"/>
                <w:sz w:val="20"/>
                <w:szCs w:val="20"/>
              </w:rPr>
              <w:t>Tasmania</w:t>
            </w:r>
          </w:p>
        </w:tc>
        <w:tc>
          <w:tcPr>
            <w:tcW w:w="4500" w:type="dxa"/>
            <w:tcBorders>
              <w:left w:val="nil"/>
            </w:tcBorders>
            <w:shd w:val="clear" w:color="auto" w:fill="E6EED5"/>
          </w:tcPr>
          <w:p w:rsidR="000C7E7A" w:rsidRDefault="000C7E7A" w:rsidP="00CD23B8">
            <w:pPr>
              <w:rPr>
                <w:rFonts w:cs="Arial"/>
                <w:bCs/>
                <w:sz w:val="20"/>
                <w:szCs w:val="20"/>
              </w:rPr>
            </w:pPr>
          </w:p>
          <w:p w:rsidR="000C7E7A" w:rsidRPr="00F657B4" w:rsidRDefault="000C7E7A" w:rsidP="00CD23B8">
            <w:pPr>
              <w:rPr>
                <w:rFonts w:cs="Arial"/>
                <w:bCs/>
                <w:sz w:val="20"/>
                <w:szCs w:val="20"/>
              </w:rPr>
            </w:pPr>
            <w:r w:rsidRPr="00F657B4">
              <w:rPr>
                <w:rFonts w:cs="Arial"/>
                <w:bCs/>
                <w:sz w:val="20"/>
                <w:szCs w:val="20"/>
              </w:rPr>
              <w:t>FSANZ will update any educational material about the Code (e.g. fact sheets).  See section 6 of this Paper.</w:t>
            </w:r>
          </w:p>
        </w:tc>
      </w:tr>
      <w:tr w:rsidR="000C7E7A" w:rsidRPr="00F657B4" w:rsidTr="0090493B">
        <w:trPr>
          <w:cantSplit/>
        </w:trPr>
        <w:tc>
          <w:tcPr>
            <w:tcW w:w="7668" w:type="dxa"/>
            <w:tcBorders>
              <w:right w:val="nil"/>
            </w:tcBorders>
          </w:tcPr>
          <w:p w:rsidR="000C7E7A" w:rsidRDefault="000C7E7A" w:rsidP="00CD23B8">
            <w:pPr>
              <w:pStyle w:val="BodyTextIndent"/>
              <w:spacing w:before="120"/>
              <w:ind w:left="0"/>
              <w:rPr>
                <w:rFonts w:cs="Arial"/>
                <w:b/>
                <w:bCs/>
                <w:i/>
                <w:sz w:val="20"/>
                <w:szCs w:val="20"/>
              </w:rPr>
            </w:pPr>
            <w:r w:rsidRPr="00F657B4">
              <w:rPr>
                <w:rFonts w:cs="Arial"/>
                <w:b/>
                <w:bCs/>
                <w:i/>
                <w:sz w:val="20"/>
                <w:szCs w:val="20"/>
              </w:rPr>
              <w:lastRenderedPageBreak/>
              <w:t>Drafting</w:t>
            </w:r>
          </w:p>
          <w:p w:rsidR="000C7E7A" w:rsidRPr="00F657B4" w:rsidRDefault="000C7E7A" w:rsidP="00CD23B8">
            <w:pPr>
              <w:pStyle w:val="BodyTextIndent"/>
              <w:spacing w:before="120"/>
              <w:ind w:left="0"/>
              <w:rPr>
                <w:rFonts w:cs="Arial"/>
                <w:b/>
                <w:bCs/>
                <w:sz w:val="20"/>
                <w:szCs w:val="20"/>
              </w:rPr>
            </w:pPr>
            <w:r w:rsidRPr="00F657B4">
              <w:rPr>
                <w:rFonts w:cs="Arial"/>
                <w:bCs/>
                <w:sz w:val="20"/>
                <w:szCs w:val="20"/>
              </w:rPr>
              <w:t>Suggests that Clause 6(2) of Standard 2.9.2 is amended to remove the word ‘suitable’ - for consistency. That is, amend the clause to ‘</w:t>
            </w:r>
            <w:r w:rsidRPr="00F657B4">
              <w:rPr>
                <w:rFonts w:cs="Arial"/>
                <w:bCs/>
                <w:i/>
                <w:sz w:val="20"/>
                <w:szCs w:val="20"/>
              </w:rPr>
              <w:t>not for infants under the age of 6 months</w:t>
            </w:r>
            <w:r w:rsidRPr="00F657B4">
              <w:rPr>
                <w:rFonts w:cs="Arial"/>
                <w:bCs/>
                <w:sz w:val="20"/>
                <w:szCs w:val="20"/>
              </w:rPr>
              <w:t xml:space="preserve">’. </w:t>
            </w:r>
          </w:p>
          <w:p w:rsidR="006F71FE" w:rsidRPr="006F71FE" w:rsidRDefault="006F71FE" w:rsidP="006F71FE">
            <w:pPr>
              <w:pStyle w:val="BodyTextIndent"/>
              <w:spacing w:before="120"/>
              <w:ind w:left="0"/>
              <w:rPr>
                <w:bCs/>
                <w:sz w:val="20"/>
                <w:szCs w:val="22"/>
              </w:rPr>
            </w:pPr>
            <w:r w:rsidRPr="006F71FE">
              <w:rPr>
                <w:bCs/>
                <w:sz w:val="20"/>
                <w:szCs w:val="22"/>
              </w:rPr>
              <w:t xml:space="preserve">Concerned that the proposed subclause (5)(a) requires labels to contain the words ‘around 6 months’ but is silent on context and is without qualification. This will be uninformative and will not assist the purchaser. </w:t>
            </w:r>
          </w:p>
          <w:p w:rsidR="006F71FE" w:rsidRDefault="006F71FE" w:rsidP="006F71FE">
            <w:pPr>
              <w:pStyle w:val="BodyTextIndent"/>
              <w:spacing w:before="120"/>
              <w:ind w:left="0"/>
              <w:rPr>
                <w:bCs/>
                <w:sz w:val="20"/>
                <w:szCs w:val="22"/>
              </w:rPr>
            </w:pPr>
            <w:r w:rsidRPr="006F71FE">
              <w:rPr>
                <w:bCs/>
                <w:sz w:val="20"/>
                <w:szCs w:val="22"/>
              </w:rPr>
              <w:t>Suggests the required statement should be ‘suitable fr</w:t>
            </w:r>
            <w:r>
              <w:rPr>
                <w:bCs/>
                <w:sz w:val="20"/>
                <w:szCs w:val="22"/>
              </w:rPr>
              <w:t>om around 6 months’ or similar.</w:t>
            </w:r>
          </w:p>
          <w:p w:rsidR="006F71FE" w:rsidRPr="00F657B4" w:rsidRDefault="006F71FE" w:rsidP="006F71FE">
            <w:pPr>
              <w:pStyle w:val="BodyTextIndent"/>
              <w:spacing w:before="120"/>
              <w:ind w:left="0"/>
              <w:rPr>
                <w:rFonts w:cs="Arial"/>
                <w:b/>
                <w:bCs/>
                <w:sz w:val="20"/>
                <w:szCs w:val="20"/>
              </w:rPr>
            </w:pPr>
            <w:r w:rsidRPr="00F657B4">
              <w:rPr>
                <w:rFonts w:cs="Arial"/>
                <w:bCs/>
                <w:sz w:val="20"/>
                <w:szCs w:val="20"/>
              </w:rPr>
              <w:t>If there is a situation where a food for infants ‘around 6 months’ contains more than 3</w:t>
            </w:r>
            <w:r w:rsidR="00F96B80">
              <w:rPr>
                <w:rFonts w:cs="Arial"/>
                <w:bCs/>
                <w:sz w:val="20"/>
                <w:szCs w:val="20"/>
              </w:rPr>
              <w:t xml:space="preserve"> </w:t>
            </w:r>
            <w:r w:rsidRPr="00F657B4">
              <w:rPr>
                <w:rFonts w:cs="Arial"/>
                <w:bCs/>
                <w:sz w:val="20"/>
                <w:szCs w:val="20"/>
              </w:rPr>
              <w:t>g/ 100</w:t>
            </w:r>
            <w:r w:rsidR="00F96B80">
              <w:rPr>
                <w:rFonts w:cs="Arial"/>
                <w:bCs/>
                <w:sz w:val="20"/>
                <w:szCs w:val="20"/>
              </w:rPr>
              <w:t xml:space="preserve"> </w:t>
            </w:r>
            <w:r w:rsidRPr="00F657B4">
              <w:rPr>
                <w:rFonts w:cs="Arial"/>
                <w:bCs/>
                <w:sz w:val="20"/>
                <w:szCs w:val="20"/>
              </w:rPr>
              <w:t>g protein</w:t>
            </w:r>
            <w:r w:rsidR="001B192E">
              <w:rPr>
                <w:rFonts w:cs="Arial"/>
                <w:bCs/>
                <w:sz w:val="20"/>
                <w:szCs w:val="20"/>
              </w:rPr>
              <w:t>,</w:t>
            </w:r>
            <w:r w:rsidRPr="00F657B4">
              <w:rPr>
                <w:rFonts w:cs="Arial"/>
                <w:bCs/>
                <w:sz w:val="20"/>
                <w:szCs w:val="20"/>
              </w:rPr>
              <w:t xml:space="preserve"> there may be some confusion over the required statements in Clause 5(5)(b) ‘Not for infants under the age of 4 months’ and 6(2) ‘ Not suitable for infants under the age of 6 months’.  It would appear reasonable that if clause 6(2) is required then clause 5(5) (b) does not apply. </w:t>
            </w:r>
          </w:p>
          <w:p w:rsidR="006F71FE" w:rsidRPr="006F71FE" w:rsidRDefault="006F71FE" w:rsidP="006F71FE">
            <w:pPr>
              <w:rPr>
                <w:rFonts w:cs="Arial"/>
                <w:bCs/>
                <w:sz w:val="20"/>
                <w:szCs w:val="20"/>
              </w:rPr>
            </w:pPr>
            <w:r w:rsidRPr="00F657B4">
              <w:rPr>
                <w:rFonts w:cs="Arial"/>
                <w:bCs/>
                <w:sz w:val="20"/>
                <w:szCs w:val="20"/>
              </w:rPr>
              <w:t xml:space="preserve">The definition of infant formula in Standard 2.9.1 refers to infants aged </w:t>
            </w:r>
            <w:r w:rsidRPr="00F657B4">
              <w:rPr>
                <w:rFonts w:cs="Arial"/>
                <w:bCs/>
                <w:i/>
                <w:sz w:val="20"/>
                <w:szCs w:val="20"/>
              </w:rPr>
              <w:t>up to four to six months</w:t>
            </w:r>
            <w:r w:rsidRPr="00F657B4">
              <w:rPr>
                <w:rFonts w:cs="Arial"/>
                <w:bCs/>
                <w:sz w:val="20"/>
                <w:szCs w:val="20"/>
              </w:rPr>
              <w:t>.  As infant feeding guidelines recommend complementary foods around 6 months it may be appropriate to change to ‘up to six months’ in the proposed review of Standard 2.9.1.</w:t>
            </w:r>
          </w:p>
        </w:tc>
        <w:tc>
          <w:tcPr>
            <w:tcW w:w="1890" w:type="dxa"/>
            <w:tcBorders>
              <w:left w:val="nil"/>
              <w:right w:val="nil"/>
            </w:tcBorders>
          </w:tcPr>
          <w:p w:rsidR="000C7E7A" w:rsidRPr="00F657B4" w:rsidRDefault="000C7E7A" w:rsidP="006F71FE">
            <w:pPr>
              <w:pStyle w:val="BodyTextIndent"/>
              <w:spacing w:before="120"/>
              <w:ind w:left="0"/>
              <w:jc w:val="center"/>
              <w:rPr>
                <w:rFonts w:cs="Arial"/>
                <w:sz w:val="20"/>
                <w:szCs w:val="20"/>
              </w:rPr>
            </w:pPr>
          </w:p>
          <w:p w:rsidR="000C7E7A" w:rsidRDefault="000F3A24" w:rsidP="006F71FE">
            <w:pPr>
              <w:pStyle w:val="BodyTextIndent"/>
              <w:spacing w:before="120"/>
              <w:ind w:left="0"/>
              <w:jc w:val="center"/>
              <w:rPr>
                <w:rFonts w:cs="Arial"/>
                <w:sz w:val="20"/>
                <w:szCs w:val="20"/>
              </w:rPr>
            </w:pPr>
            <w:r w:rsidRPr="00F657B4">
              <w:rPr>
                <w:rFonts w:cs="Arial"/>
                <w:sz w:val="20"/>
                <w:szCs w:val="20"/>
              </w:rPr>
              <w:t xml:space="preserve">DHS </w:t>
            </w:r>
            <w:r w:rsidR="000C7E7A" w:rsidRPr="00F657B4">
              <w:rPr>
                <w:rFonts w:cs="Arial"/>
                <w:sz w:val="20"/>
                <w:szCs w:val="20"/>
              </w:rPr>
              <w:t>Tasmania</w:t>
            </w:r>
          </w:p>
          <w:p w:rsidR="000C7E7A" w:rsidRDefault="000C7E7A" w:rsidP="006F71FE">
            <w:pPr>
              <w:pStyle w:val="BodyTextIndent"/>
              <w:spacing w:before="120"/>
              <w:ind w:left="0"/>
              <w:jc w:val="center"/>
              <w:rPr>
                <w:rFonts w:cs="Arial"/>
                <w:sz w:val="20"/>
                <w:szCs w:val="20"/>
              </w:rPr>
            </w:pPr>
          </w:p>
          <w:p w:rsidR="006F71FE" w:rsidRDefault="006F71FE" w:rsidP="006F71FE">
            <w:pPr>
              <w:pStyle w:val="BodyTextIndent"/>
              <w:spacing w:before="240"/>
              <w:ind w:left="0"/>
              <w:jc w:val="center"/>
              <w:rPr>
                <w:rFonts w:cs="Arial"/>
                <w:sz w:val="20"/>
                <w:szCs w:val="20"/>
              </w:rPr>
            </w:pPr>
            <w:r>
              <w:rPr>
                <w:rFonts w:cs="Arial"/>
                <w:sz w:val="20"/>
                <w:szCs w:val="20"/>
              </w:rPr>
              <w:t>NSWFA</w:t>
            </w:r>
          </w:p>
          <w:p w:rsidR="006F71FE" w:rsidRDefault="006F71FE" w:rsidP="006F71FE">
            <w:pPr>
              <w:pStyle w:val="BodyTextIndent"/>
              <w:spacing w:before="240"/>
              <w:ind w:left="0"/>
              <w:jc w:val="center"/>
              <w:rPr>
                <w:rFonts w:cs="Arial"/>
                <w:sz w:val="20"/>
                <w:szCs w:val="20"/>
              </w:rPr>
            </w:pPr>
          </w:p>
          <w:p w:rsidR="006F71FE" w:rsidRDefault="006F71FE" w:rsidP="006F71FE">
            <w:pPr>
              <w:pStyle w:val="BodyTextIndent"/>
              <w:spacing w:before="240"/>
              <w:ind w:left="0"/>
              <w:jc w:val="center"/>
              <w:rPr>
                <w:rFonts w:cs="Arial"/>
                <w:sz w:val="20"/>
                <w:szCs w:val="20"/>
              </w:rPr>
            </w:pPr>
          </w:p>
          <w:p w:rsidR="006F71FE" w:rsidRDefault="006F71FE" w:rsidP="006F71FE">
            <w:pPr>
              <w:pStyle w:val="BodyTextIndent"/>
              <w:spacing w:before="120"/>
              <w:ind w:left="0"/>
              <w:jc w:val="center"/>
              <w:rPr>
                <w:rFonts w:cs="Arial"/>
                <w:sz w:val="20"/>
                <w:szCs w:val="20"/>
              </w:rPr>
            </w:pPr>
            <w:r w:rsidRPr="00F657B4">
              <w:rPr>
                <w:rFonts w:cs="Arial"/>
                <w:sz w:val="20"/>
                <w:szCs w:val="20"/>
              </w:rPr>
              <w:t>DHS Tasmania</w:t>
            </w:r>
          </w:p>
          <w:p w:rsidR="006F71FE" w:rsidRPr="00F657B4" w:rsidRDefault="006F71FE" w:rsidP="006F71FE">
            <w:pPr>
              <w:pStyle w:val="BodyTextIndent"/>
              <w:spacing w:before="240"/>
              <w:ind w:left="0"/>
              <w:jc w:val="center"/>
              <w:rPr>
                <w:rFonts w:cs="Arial"/>
                <w:b/>
                <w:bCs/>
                <w:sz w:val="20"/>
                <w:szCs w:val="20"/>
              </w:rPr>
            </w:pPr>
          </w:p>
        </w:tc>
        <w:tc>
          <w:tcPr>
            <w:tcW w:w="4500" w:type="dxa"/>
            <w:tcBorders>
              <w:left w:val="nil"/>
            </w:tcBorders>
          </w:tcPr>
          <w:p w:rsidR="000C7E7A" w:rsidRPr="00F657B4" w:rsidRDefault="000C7E7A" w:rsidP="00CD23B8">
            <w:pPr>
              <w:rPr>
                <w:rFonts w:cs="Arial"/>
                <w:b/>
                <w:bCs/>
                <w:sz w:val="20"/>
                <w:szCs w:val="20"/>
              </w:rPr>
            </w:pPr>
          </w:p>
          <w:p w:rsidR="000C7E7A" w:rsidRPr="00F657B4" w:rsidRDefault="000C7E7A" w:rsidP="00CD23B8">
            <w:pPr>
              <w:rPr>
                <w:rFonts w:cs="Arial"/>
                <w:bCs/>
                <w:sz w:val="20"/>
                <w:szCs w:val="20"/>
              </w:rPr>
            </w:pPr>
            <w:r w:rsidRPr="00F657B4">
              <w:rPr>
                <w:rFonts w:cs="Arial"/>
                <w:bCs/>
                <w:sz w:val="20"/>
                <w:szCs w:val="20"/>
              </w:rPr>
              <w:t xml:space="preserve">See SD2. </w:t>
            </w:r>
          </w:p>
          <w:p w:rsidR="000C7E7A" w:rsidRPr="00F657B4" w:rsidRDefault="000C7E7A" w:rsidP="00CD23B8">
            <w:pPr>
              <w:rPr>
                <w:rFonts w:cs="Arial"/>
                <w:bCs/>
                <w:sz w:val="20"/>
                <w:szCs w:val="20"/>
              </w:rPr>
            </w:pPr>
          </w:p>
          <w:p w:rsidR="000C7E7A" w:rsidRPr="00F657B4" w:rsidRDefault="000C7E7A" w:rsidP="00CD23B8">
            <w:pPr>
              <w:rPr>
                <w:rFonts w:cs="Arial"/>
                <w:bCs/>
                <w:sz w:val="20"/>
                <w:szCs w:val="20"/>
              </w:rPr>
            </w:pPr>
            <w:r w:rsidRPr="00F657B4">
              <w:rPr>
                <w:rFonts w:cs="Arial"/>
                <w:bCs/>
                <w:sz w:val="20"/>
                <w:szCs w:val="20"/>
              </w:rPr>
              <w:t xml:space="preserve">See Attachement1 for proposed amendments to Standard 2.9.2. </w:t>
            </w:r>
          </w:p>
          <w:p w:rsidR="000C7E7A" w:rsidRPr="00F657B4" w:rsidRDefault="000C7E7A" w:rsidP="00CD23B8">
            <w:pPr>
              <w:rPr>
                <w:rFonts w:cs="Arial"/>
                <w:b/>
                <w:bCs/>
                <w:sz w:val="20"/>
                <w:szCs w:val="20"/>
              </w:rPr>
            </w:pPr>
          </w:p>
          <w:p w:rsidR="000C7E7A" w:rsidRPr="00F657B4" w:rsidRDefault="000C7E7A" w:rsidP="00CD23B8">
            <w:pPr>
              <w:rPr>
                <w:rFonts w:cs="Arial"/>
                <w:b/>
                <w:bCs/>
                <w:sz w:val="20"/>
                <w:szCs w:val="20"/>
              </w:rPr>
            </w:pPr>
          </w:p>
          <w:p w:rsidR="006F71FE" w:rsidRDefault="006F71FE" w:rsidP="00CD23B8">
            <w:pPr>
              <w:rPr>
                <w:rFonts w:cs="Arial"/>
                <w:bCs/>
                <w:sz w:val="20"/>
                <w:szCs w:val="20"/>
              </w:rPr>
            </w:pPr>
          </w:p>
          <w:p w:rsidR="006F71FE" w:rsidRDefault="006F71FE" w:rsidP="00CD23B8">
            <w:pPr>
              <w:rPr>
                <w:rFonts w:cs="Arial"/>
                <w:bCs/>
                <w:sz w:val="20"/>
                <w:szCs w:val="20"/>
              </w:rPr>
            </w:pPr>
          </w:p>
          <w:p w:rsidR="006F71FE" w:rsidRDefault="006F71FE" w:rsidP="00CD23B8">
            <w:pPr>
              <w:rPr>
                <w:rFonts w:cs="Arial"/>
                <w:bCs/>
                <w:sz w:val="20"/>
                <w:szCs w:val="20"/>
              </w:rPr>
            </w:pPr>
          </w:p>
          <w:p w:rsidR="006F71FE" w:rsidRDefault="006F71FE" w:rsidP="00CD23B8">
            <w:pPr>
              <w:rPr>
                <w:rFonts w:cs="Arial"/>
                <w:bCs/>
                <w:sz w:val="20"/>
                <w:szCs w:val="20"/>
              </w:rPr>
            </w:pPr>
          </w:p>
          <w:p w:rsidR="000C7E7A" w:rsidRPr="00F657B4" w:rsidRDefault="000C7E7A" w:rsidP="00CD23B8">
            <w:pPr>
              <w:rPr>
                <w:rFonts w:cs="Arial"/>
                <w:bCs/>
                <w:sz w:val="20"/>
                <w:szCs w:val="20"/>
              </w:rPr>
            </w:pPr>
            <w:r w:rsidRPr="00F657B4">
              <w:rPr>
                <w:rFonts w:cs="Arial"/>
                <w:bCs/>
                <w:sz w:val="20"/>
                <w:szCs w:val="20"/>
              </w:rPr>
              <w:t>To be considered under the Review of Infant Formula project.</w:t>
            </w:r>
          </w:p>
        </w:tc>
      </w:tr>
      <w:tr w:rsidR="000C7E7A" w:rsidRPr="00F657B4" w:rsidTr="0090493B">
        <w:trPr>
          <w:cantSplit/>
        </w:trPr>
        <w:tc>
          <w:tcPr>
            <w:tcW w:w="7668" w:type="dxa"/>
            <w:tcBorders>
              <w:right w:val="nil"/>
            </w:tcBorders>
            <w:shd w:val="clear" w:color="auto" w:fill="E6EED5"/>
          </w:tcPr>
          <w:p w:rsidR="000C7E7A" w:rsidRPr="006D4014" w:rsidRDefault="000C7E7A" w:rsidP="00CD23B8">
            <w:pPr>
              <w:pStyle w:val="BodyTextIndent"/>
              <w:spacing w:before="120"/>
              <w:ind w:left="0"/>
              <w:rPr>
                <w:rFonts w:cs="Arial"/>
                <w:b/>
                <w:bCs/>
                <w:i/>
                <w:sz w:val="20"/>
                <w:szCs w:val="20"/>
              </w:rPr>
            </w:pPr>
            <w:r w:rsidRPr="00F657B4">
              <w:rPr>
                <w:rFonts w:cs="Arial"/>
                <w:b/>
                <w:bCs/>
                <w:i/>
                <w:sz w:val="20"/>
                <w:szCs w:val="20"/>
              </w:rPr>
              <w:t>Warning statement ‘Not recommended for infants under the age of 4 months’</w:t>
            </w:r>
          </w:p>
          <w:p w:rsidR="000C7E7A" w:rsidRPr="006D4014" w:rsidRDefault="000C7E7A" w:rsidP="00CD23B8">
            <w:pPr>
              <w:pStyle w:val="BodyTextIndent"/>
              <w:spacing w:before="120"/>
              <w:ind w:left="0"/>
              <w:rPr>
                <w:rFonts w:cs="Arial"/>
                <w:bCs/>
                <w:sz w:val="20"/>
                <w:szCs w:val="20"/>
              </w:rPr>
            </w:pPr>
            <w:r w:rsidRPr="006D4014">
              <w:rPr>
                <w:rFonts w:cs="Arial"/>
                <w:bCs/>
                <w:sz w:val="20"/>
                <w:szCs w:val="20"/>
              </w:rPr>
              <w:t xml:space="preserve">Current regulations require the warning statement </w:t>
            </w:r>
            <w:r w:rsidR="001B192E">
              <w:rPr>
                <w:rFonts w:cs="Arial"/>
                <w:bCs/>
                <w:sz w:val="20"/>
                <w:szCs w:val="20"/>
              </w:rPr>
              <w:t>‘</w:t>
            </w:r>
            <w:r w:rsidRPr="006D4014">
              <w:rPr>
                <w:rFonts w:cs="Arial"/>
                <w:bCs/>
                <w:sz w:val="20"/>
                <w:szCs w:val="20"/>
              </w:rPr>
              <w:t>not recommended for infants under the age of four months</w:t>
            </w:r>
            <w:r w:rsidR="001B192E">
              <w:rPr>
                <w:rFonts w:cs="Arial"/>
                <w:bCs/>
                <w:sz w:val="20"/>
                <w:szCs w:val="20"/>
              </w:rPr>
              <w:t>’</w:t>
            </w:r>
            <w:r w:rsidRPr="006D4014">
              <w:rPr>
                <w:rFonts w:cs="Arial"/>
                <w:bCs/>
                <w:sz w:val="20"/>
                <w:szCs w:val="20"/>
              </w:rPr>
              <w:t xml:space="preserve"> to be included on the label of infant food for infants between four and six months. Furthermore, a recommendation on the label (expressed or implied) that an infant food is suitable for infants less than four months of age is not permitted. </w:t>
            </w:r>
          </w:p>
          <w:p w:rsidR="000C7E7A" w:rsidRPr="006D4014" w:rsidRDefault="000C7E7A" w:rsidP="00CD23B8">
            <w:pPr>
              <w:pStyle w:val="BodyTextIndent"/>
              <w:spacing w:before="120"/>
              <w:ind w:left="0"/>
              <w:rPr>
                <w:rFonts w:cs="Arial"/>
                <w:b/>
                <w:bCs/>
                <w:i/>
                <w:sz w:val="20"/>
                <w:szCs w:val="20"/>
              </w:rPr>
            </w:pPr>
            <w:r w:rsidRPr="006D4014">
              <w:rPr>
                <w:rFonts w:cs="Arial"/>
                <w:bCs/>
                <w:sz w:val="20"/>
                <w:szCs w:val="20"/>
              </w:rPr>
              <w:t>Submissions to the Preliminary Final Assessment strongly supported the continued inclusion of the requirement for the warning statement on labels. These submissions also supported the proposed removal of the word ‘recommended’ as a means of simplifying the regulatory requirement.</w:t>
            </w:r>
            <w:r w:rsidRPr="006D4014">
              <w:rPr>
                <w:rFonts w:cs="Arial"/>
                <w:b/>
                <w:bCs/>
                <w:i/>
                <w:sz w:val="20"/>
                <w:szCs w:val="20"/>
              </w:rPr>
              <w:t xml:space="preserve">  </w:t>
            </w:r>
          </w:p>
        </w:tc>
        <w:tc>
          <w:tcPr>
            <w:tcW w:w="1890" w:type="dxa"/>
            <w:tcBorders>
              <w:left w:val="nil"/>
              <w:right w:val="nil"/>
            </w:tcBorders>
            <w:shd w:val="clear" w:color="auto" w:fill="E6EED5"/>
          </w:tcPr>
          <w:p w:rsidR="000C7E7A" w:rsidRDefault="000C7E7A" w:rsidP="00CD23B8">
            <w:pPr>
              <w:rPr>
                <w:rFonts w:cs="Arial"/>
                <w:sz w:val="20"/>
                <w:szCs w:val="20"/>
              </w:rPr>
            </w:pPr>
          </w:p>
          <w:p w:rsidR="001B192E" w:rsidRDefault="001B192E" w:rsidP="00CD23B8">
            <w:pPr>
              <w:rPr>
                <w:rFonts w:cs="Arial"/>
                <w:sz w:val="20"/>
                <w:szCs w:val="20"/>
              </w:rPr>
            </w:pPr>
          </w:p>
          <w:p w:rsidR="000C7E7A" w:rsidRPr="00F657B4" w:rsidRDefault="000F3A24" w:rsidP="00391E6A">
            <w:pPr>
              <w:rPr>
                <w:rFonts w:cs="Arial"/>
                <w:sz w:val="20"/>
                <w:szCs w:val="20"/>
              </w:rPr>
            </w:pPr>
            <w:r>
              <w:rPr>
                <w:rFonts w:cs="Arial"/>
                <w:sz w:val="20"/>
                <w:szCs w:val="20"/>
              </w:rPr>
              <w:t xml:space="preserve">QLD Health, </w:t>
            </w:r>
            <w:r w:rsidR="000C7E7A" w:rsidRPr="00F657B4">
              <w:rPr>
                <w:rFonts w:cs="Arial"/>
                <w:sz w:val="20"/>
                <w:szCs w:val="20"/>
              </w:rPr>
              <w:t xml:space="preserve">DHS Victoria, </w:t>
            </w:r>
            <w:r w:rsidR="000C7E7A" w:rsidRPr="00F657B4">
              <w:rPr>
                <w:rFonts w:cs="Arial"/>
                <w:sz w:val="20"/>
                <w:szCs w:val="20"/>
              </w:rPr>
              <w:br w:type="textWrapping" w:clear="all"/>
              <w:t>L</w:t>
            </w:r>
            <w:r w:rsidR="00391E6A">
              <w:rPr>
                <w:rFonts w:cs="Arial"/>
                <w:sz w:val="20"/>
                <w:szCs w:val="20"/>
              </w:rPr>
              <w:t>LL</w:t>
            </w:r>
            <w:r w:rsidR="000C7E7A" w:rsidRPr="00F657B4">
              <w:rPr>
                <w:rFonts w:cs="Arial"/>
                <w:sz w:val="20"/>
                <w:szCs w:val="20"/>
              </w:rPr>
              <w:t xml:space="preserve"> NZ, DHS Tasmania, Heinz</w:t>
            </w:r>
            <w:r>
              <w:rPr>
                <w:rFonts w:cs="Arial"/>
                <w:sz w:val="20"/>
                <w:szCs w:val="20"/>
              </w:rPr>
              <w:t xml:space="preserve">, </w:t>
            </w:r>
            <w:r w:rsidR="000C7E7A" w:rsidRPr="00F657B4">
              <w:rPr>
                <w:rFonts w:cs="Arial"/>
                <w:sz w:val="20"/>
                <w:szCs w:val="20"/>
              </w:rPr>
              <w:t>R</w:t>
            </w:r>
            <w:r w:rsidR="00391E6A">
              <w:rPr>
                <w:rFonts w:cs="Arial"/>
                <w:sz w:val="20"/>
                <w:szCs w:val="20"/>
              </w:rPr>
              <w:t>CH Melbourne</w:t>
            </w:r>
          </w:p>
        </w:tc>
        <w:tc>
          <w:tcPr>
            <w:tcW w:w="4500" w:type="dxa"/>
            <w:tcBorders>
              <w:left w:val="nil"/>
            </w:tcBorders>
            <w:shd w:val="clear" w:color="auto" w:fill="E6EED5"/>
          </w:tcPr>
          <w:p w:rsidR="000C7E7A" w:rsidRDefault="000C7E7A" w:rsidP="00CD23B8">
            <w:pPr>
              <w:rPr>
                <w:rFonts w:cs="Arial"/>
                <w:sz w:val="20"/>
                <w:szCs w:val="20"/>
              </w:rPr>
            </w:pPr>
          </w:p>
          <w:p w:rsidR="000C7E7A" w:rsidRPr="00F657B4" w:rsidRDefault="000C7E7A" w:rsidP="00CD23B8">
            <w:pPr>
              <w:rPr>
                <w:rFonts w:cs="Arial"/>
                <w:sz w:val="20"/>
                <w:szCs w:val="20"/>
              </w:rPr>
            </w:pPr>
            <w:r w:rsidRPr="00F657B4">
              <w:rPr>
                <w:rFonts w:cs="Arial"/>
                <w:sz w:val="20"/>
                <w:szCs w:val="20"/>
              </w:rPr>
              <w:t xml:space="preserve">FSANZ is proposing to continue with the requirement for a warning statement, because of available evidence that demonstrates risks with the early introduction of solid foods, and support from submitters. </w:t>
            </w:r>
          </w:p>
          <w:p w:rsidR="000C7E7A" w:rsidRPr="00F657B4" w:rsidRDefault="000C7E7A" w:rsidP="00CD23B8">
            <w:pPr>
              <w:rPr>
                <w:rFonts w:cs="Arial"/>
                <w:sz w:val="20"/>
                <w:szCs w:val="20"/>
              </w:rPr>
            </w:pPr>
          </w:p>
          <w:p w:rsidR="000C7E7A" w:rsidRPr="00F657B4" w:rsidRDefault="000C7E7A" w:rsidP="006F71FE">
            <w:pPr>
              <w:rPr>
                <w:rFonts w:cs="Arial"/>
                <w:sz w:val="20"/>
                <w:szCs w:val="20"/>
              </w:rPr>
            </w:pPr>
            <w:r w:rsidRPr="00F657B4">
              <w:rPr>
                <w:rFonts w:cs="Arial"/>
                <w:sz w:val="20"/>
                <w:szCs w:val="20"/>
              </w:rPr>
              <w:t xml:space="preserve">FSANZ has proposed drafting changes to remove the word ‘recommended’ from the warning statement requirement, because it makes the warning statement more consistent with the available evidence, and stakeholders support this change. To further simplify the statement (to reduce wording while retaining the intent), we are proposing that the required warning statement is shortened to ‘not for </w:t>
            </w:r>
            <w:proofErr w:type="gramStart"/>
            <w:r w:rsidRPr="00F657B4">
              <w:rPr>
                <w:rFonts w:cs="Arial"/>
                <w:sz w:val="20"/>
                <w:szCs w:val="20"/>
              </w:rPr>
              <w:t>under</w:t>
            </w:r>
            <w:proofErr w:type="gramEnd"/>
            <w:r w:rsidRPr="00F657B4">
              <w:rPr>
                <w:rFonts w:cs="Arial"/>
                <w:sz w:val="20"/>
                <w:szCs w:val="20"/>
              </w:rPr>
              <w:t xml:space="preserve"> four months’.</w:t>
            </w:r>
          </w:p>
        </w:tc>
      </w:tr>
      <w:tr w:rsidR="000C7E7A" w:rsidRPr="00F657B4" w:rsidTr="0090493B">
        <w:trPr>
          <w:cantSplit/>
        </w:trPr>
        <w:tc>
          <w:tcPr>
            <w:tcW w:w="7668" w:type="dxa"/>
            <w:tcBorders>
              <w:right w:val="nil"/>
            </w:tcBorders>
          </w:tcPr>
          <w:p w:rsidR="000C7E7A" w:rsidRPr="006D4014" w:rsidRDefault="000C7E7A" w:rsidP="00CD23B8">
            <w:pPr>
              <w:pStyle w:val="BodyTextIndent"/>
              <w:spacing w:before="120"/>
              <w:ind w:left="0"/>
              <w:rPr>
                <w:rFonts w:cs="Arial"/>
                <w:b/>
                <w:bCs/>
                <w:i/>
                <w:sz w:val="20"/>
                <w:szCs w:val="20"/>
              </w:rPr>
            </w:pPr>
            <w:bookmarkStart w:id="2" w:name="_Toc83003298"/>
            <w:bookmarkStart w:id="3" w:name="_Toc85356190"/>
            <w:r w:rsidRPr="006D4014">
              <w:rPr>
                <w:rFonts w:cs="Arial"/>
                <w:b/>
                <w:bCs/>
                <w:i/>
                <w:sz w:val="20"/>
                <w:szCs w:val="20"/>
              </w:rPr>
              <w:lastRenderedPageBreak/>
              <w:t>Statement on consistency and the risk of choking</w:t>
            </w:r>
            <w:bookmarkEnd w:id="2"/>
            <w:bookmarkEnd w:id="3"/>
          </w:p>
          <w:p w:rsidR="006F71FE" w:rsidRPr="006F71FE" w:rsidRDefault="006F71FE" w:rsidP="006F71FE">
            <w:pPr>
              <w:pStyle w:val="BodyTextIndent"/>
              <w:spacing w:before="120"/>
              <w:ind w:left="0"/>
              <w:rPr>
                <w:sz w:val="20"/>
              </w:rPr>
            </w:pPr>
            <w:r w:rsidRPr="006F71FE">
              <w:rPr>
                <w:sz w:val="20"/>
              </w:rPr>
              <w:t xml:space="preserve">Considers the wording of the PFAR is unclear and does not describe the intent of the proposed changes. Suggest this be reworded. </w:t>
            </w:r>
          </w:p>
          <w:p w:rsidR="006F71FE" w:rsidRPr="006D4014" w:rsidRDefault="006F71FE" w:rsidP="006F71FE">
            <w:pPr>
              <w:pStyle w:val="BodyTextIndent"/>
              <w:spacing w:before="120"/>
              <w:ind w:left="0"/>
              <w:rPr>
                <w:rFonts w:cs="Arial"/>
                <w:b/>
                <w:bCs/>
                <w:i/>
                <w:sz w:val="20"/>
                <w:szCs w:val="20"/>
              </w:rPr>
            </w:pPr>
          </w:p>
        </w:tc>
        <w:tc>
          <w:tcPr>
            <w:tcW w:w="1890" w:type="dxa"/>
            <w:tcBorders>
              <w:left w:val="nil"/>
              <w:right w:val="nil"/>
            </w:tcBorders>
          </w:tcPr>
          <w:p w:rsidR="000C7E7A" w:rsidRDefault="000C7E7A" w:rsidP="00CD23B8">
            <w:pPr>
              <w:rPr>
                <w:rFonts w:cs="Arial"/>
                <w:sz w:val="20"/>
                <w:szCs w:val="20"/>
              </w:rPr>
            </w:pPr>
          </w:p>
          <w:p w:rsidR="000C7E7A" w:rsidRDefault="000C7E7A" w:rsidP="006F71FE">
            <w:pPr>
              <w:rPr>
                <w:rFonts w:cs="Arial"/>
                <w:sz w:val="20"/>
                <w:szCs w:val="20"/>
              </w:rPr>
            </w:pPr>
            <w:r w:rsidRPr="00F657B4">
              <w:rPr>
                <w:rFonts w:cs="Arial"/>
                <w:sz w:val="20"/>
                <w:szCs w:val="20"/>
              </w:rPr>
              <w:t xml:space="preserve">QLD Health, DHS Victoria, </w:t>
            </w:r>
            <w:r w:rsidRPr="00F657B4">
              <w:rPr>
                <w:rFonts w:cs="Arial"/>
                <w:sz w:val="20"/>
                <w:szCs w:val="20"/>
              </w:rPr>
              <w:br w:type="textWrapping" w:clear="all"/>
              <w:t>L</w:t>
            </w:r>
            <w:r w:rsidR="006F71FE">
              <w:rPr>
                <w:rFonts w:cs="Arial"/>
                <w:sz w:val="20"/>
                <w:szCs w:val="20"/>
              </w:rPr>
              <w:t xml:space="preserve">LL </w:t>
            </w:r>
            <w:r w:rsidRPr="00F657B4">
              <w:rPr>
                <w:rFonts w:cs="Arial"/>
                <w:sz w:val="20"/>
                <w:szCs w:val="20"/>
              </w:rPr>
              <w:t xml:space="preserve">NZ, NZFSA, </w:t>
            </w:r>
            <w:r w:rsidRPr="00F657B4">
              <w:rPr>
                <w:rFonts w:cs="Arial"/>
                <w:sz w:val="20"/>
                <w:szCs w:val="20"/>
              </w:rPr>
              <w:br w:type="textWrapping" w:clear="all"/>
              <w:t>NZDA</w:t>
            </w:r>
          </w:p>
          <w:p w:rsidR="006F71FE" w:rsidRDefault="006F71FE" w:rsidP="006F71FE">
            <w:pPr>
              <w:rPr>
                <w:rFonts w:cs="Arial"/>
                <w:sz w:val="20"/>
                <w:szCs w:val="20"/>
              </w:rPr>
            </w:pPr>
          </w:p>
          <w:p w:rsidR="006F71FE" w:rsidRDefault="006F71FE" w:rsidP="006F71FE">
            <w:pPr>
              <w:rPr>
                <w:rFonts w:cs="Arial"/>
                <w:sz w:val="20"/>
                <w:szCs w:val="20"/>
              </w:rPr>
            </w:pPr>
          </w:p>
          <w:p w:rsidR="006F71FE" w:rsidRPr="00F657B4" w:rsidRDefault="006F71FE" w:rsidP="006F71FE">
            <w:pPr>
              <w:rPr>
                <w:rFonts w:cs="Arial"/>
                <w:sz w:val="20"/>
                <w:szCs w:val="20"/>
              </w:rPr>
            </w:pPr>
          </w:p>
        </w:tc>
        <w:tc>
          <w:tcPr>
            <w:tcW w:w="4500" w:type="dxa"/>
            <w:tcBorders>
              <w:left w:val="nil"/>
            </w:tcBorders>
          </w:tcPr>
          <w:p w:rsidR="000C7E7A" w:rsidRDefault="000C7E7A" w:rsidP="00CD23B8">
            <w:pPr>
              <w:rPr>
                <w:rFonts w:cs="Arial"/>
                <w:sz w:val="20"/>
                <w:szCs w:val="20"/>
              </w:rPr>
            </w:pPr>
          </w:p>
          <w:p w:rsidR="000C7E7A" w:rsidRPr="00F657B4" w:rsidRDefault="000C7E7A" w:rsidP="00CD23B8">
            <w:pPr>
              <w:rPr>
                <w:rFonts w:cs="Arial"/>
                <w:sz w:val="20"/>
                <w:szCs w:val="20"/>
              </w:rPr>
            </w:pPr>
            <w:r w:rsidRPr="00F657B4">
              <w:rPr>
                <w:rFonts w:cs="Arial"/>
                <w:sz w:val="20"/>
                <w:szCs w:val="20"/>
              </w:rPr>
              <w:t>All of the submissions commenting on this issue indicated support for the retention of subclause 2(5) in a modified form. FSANZ will therefore continue with the proposed change to this part of Standard 2.9.2.</w:t>
            </w:r>
          </w:p>
          <w:p w:rsidR="000C7E7A" w:rsidRPr="00F657B4" w:rsidRDefault="000C7E7A" w:rsidP="00CD23B8">
            <w:pPr>
              <w:rPr>
                <w:rFonts w:cs="Arial"/>
                <w:sz w:val="20"/>
                <w:szCs w:val="20"/>
              </w:rPr>
            </w:pPr>
          </w:p>
          <w:p w:rsidR="000C7E7A" w:rsidRPr="00F657B4" w:rsidRDefault="000C7E7A" w:rsidP="006F71FE">
            <w:pPr>
              <w:rPr>
                <w:rFonts w:cs="Arial"/>
                <w:sz w:val="20"/>
                <w:szCs w:val="20"/>
              </w:rPr>
            </w:pPr>
            <w:r w:rsidRPr="00F657B4">
              <w:rPr>
                <w:rFonts w:cs="Arial"/>
                <w:sz w:val="20"/>
                <w:szCs w:val="20"/>
              </w:rPr>
              <w:t>Refer to Attachment 1 – draft variation.</w:t>
            </w:r>
          </w:p>
        </w:tc>
      </w:tr>
      <w:tr w:rsidR="00D501DC" w:rsidRPr="00F657B4" w:rsidTr="0090493B">
        <w:trPr>
          <w:cantSplit/>
        </w:trPr>
        <w:tc>
          <w:tcPr>
            <w:tcW w:w="7668" w:type="dxa"/>
            <w:tcBorders>
              <w:right w:val="nil"/>
            </w:tcBorders>
          </w:tcPr>
          <w:p w:rsidR="00D501DC" w:rsidRPr="005C7B39" w:rsidRDefault="00D501DC" w:rsidP="0097428C">
            <w:pPr>
              <w:pStyle w:val="BodyTextIndent"/>
              <w:spacing w:before="120"/>
              <w:ind w:left="0"/>
              <w:rPr>
                <w:rFonts w:cs="Arial"/>
                <w:b/>
                <w:i/>
                <w:sz w:val="20"/>
                <w:szCs w:val="20"/>
              </w:rPr>
            </w:pPr>
            <w:r w:rsidRPr="005C7B39">
              <w:rPr>
                <w:rFonts w:cs="Arial"/>
                <w:b/>
                <w:i/>
                <w:sz w:val="20"/>
                <w:szCs w:val="20"/>
              </w:rPr>
              <w:t xml:space="preserve">Temporary solution </w:t>
            </w:r>
          </w:p>
          <w:p w:rsidR="00D501DC" w:rsidRPr="005C7B39" w:rsidRDefault="00D501DC" w:rsidP="0097428C">
            <w:pPr>
              <w:pStyle w:val="BodyTextIndent"/>
              <w:spacing w:before="120"/>
              <w:ind w:left="0"/>
              <w:rPr>
                <w:rFonts w:cs="Arial"/>
                <w:sz w:val="20"/>
                <w:szCs w:val="20"/>
              </w:rPr>
            </w:pPr>
            <w:r w:rsidRPr="005C7B39">
              <w:rPr>
                <w:rFonts w:cs="Arial"/>
                <w:sz w:val="20"/>
                <w:szCs w:val="20"/>
              </w:rPr>
              <w:t>Regards the PFAR decision as a sensible, pragmatic solution in light of the emerging evidence which may suggest changes in practice in the near future.</w:t>
            </w:r>
          </w:p>
          <w:p w:rsidR="00D501DC" w:rsidRPr="005C7B39" w:rsidRDefault="00D501DC" w:rsidP="0097428C">
            <w:pPr>
              <w:pStyle w:val="BodyTextIndent"/>
              <w:spacing w:before="120"/>
              <w:ind w:left="0"/>
              <w:rPr>
                <w:rFonts w:cs="Arial"/>
                <w:sz w:val="20"/>
                <w:szCs w:val="20"/>
              </w:rPr>
            </w:pPr>
            <w:r w:rsidRPr="005C7B39">
              <w:rPr>
                <w:rFonts w:cs="Arial"/>
                <w:sz w:val="20"/>
                <w:szCs w:val="20"/>
              </w:rPr>
              <w:t>Labelling standards have generally lagged well behind recommended practice, and a change in the standard may need to be addressed again in the relatively near future.</w:t>
            </w:r>
          </w:p>
          <w:p w:rsidR="00D501DC" w:rsidRPr="00F657B4" w:rsidRDefault="00D501DC" w:rsidP="0097428C">
            <w:pPr>
              <w:pStyle w:val="BodyTextIndent"/>
              <w:spacing w:before="120"/>
              <w:ind w:left="0"/>
              <w:rPr>
                <w:rFonts w:cs="Arial"/>
                <w:b/>
                <w:bCs/>
                <w:sz w:val="20"/>
                <w:szCs w:val="20"/>
              </w:rPr>
            </w:pPr>
            <w:r w:rsidRPr="005C7B39">
              <w:rPr>
                <w:rFonts w:cs="Arial"/>
                <w:sz w:val="20"/>
                <w:szCs w:val="20"/>
              </w:rPr>
              <w:t>Recommends a more streamlined process for amendments such that Guidelines in both countries and Food Standards are consistent.</w:t>
            </w:r>
            <w:r w:rsidRPr="00F657B4">
              <w:rPr>
                <w:rFonts w:cs="Arial"/>
                <w:bCs/>
                <w:sz w:val="20"/>
                <w:szCs w:val="20"/>
              </w:rPr>
              <w:t xml:space="preserve"> </w:t>
            </w:r>
          </w:p>
        </w:tc>
        <w:tc>
          <w:tcPr>
            <w:tcW w:w="1890" w:type="dxa"/>
            <w:tcBorders>
              <w:left w:val="nil"/>
              <w:right w:val="nil"/>
            </w:tcBorders>
          </w:tcPr>
          <w:p w:rsidR="00D501DC" w:rsidRDefault="00D501DC" w:rsidP="0097428C">
            <w:pPr>
              <w:rPr>
                <w:rFonts w:cs="Arial"/>
                <w:sz w:val="20"/>
                <w:szCs w:val="20"/>
              </w:rPr>
            </w:pPr>
          </w:p>
          <w:p w:rsidR="00D501DC" w:rsidRDefault="00D501DC" w:rsidP="0097428C">
            <w:pPr>
              <w:rPr>
                <w:rFonts w:cs="Arial"/>
                <w:sz w:val="20"/>
                <w:szCs w:val="20"/>
              </w:rPr>
            </w:pPr>
          </w:p>
          <w:p w:rsidR="00D501DC" w:rsidRPr="00F657B4" w:rsidRDefault="00D501DC" w:rsidP="0097428C">
            <w:pPr>
              <w:rPr>
                <w:rFonts w:cs="Arial"/>
                <w:b/>
                <w:bCs/>
                <w:sz w:val="20"/>
                <w:szCs w:val="20"/>
              </w:rPr>
            </w:pPr>
            <w:r w:rsidRPr="00F657B4">
              <w:rPr>
                <w:rFonts w:cs="Arial"/>
                <w:sz w:val="20"/>
                <w:szCs w:val="20"/>
              </w:rPr>
              <w:t>RCH</w:t>
            </w:r>
            <w:r>
              <w:rPr>
                <w:rFonts w:cs="Arial"/>
                <w:sz w:val="20"/>
                <w:szCs w:val="20"/>
              </w:rPr>
              <w:t xml:space="preserve"> Melbourne</w:t>
            </w:r>
          </w:p>
        </w:tc>
        <w:tc>
          <w:tcPr>
            <w:tcW w:w="4500" w:type="dxa"/>
            <w:tcBorders>
              <w:left w:val="nil"/>
            </w:tcBorders>
          </w:tcPr>
          <w:p w:rsidR="00D501DC" w:rsidRDefault="00D501DC" w:rsidP="0097428C">
            <w:pPr>
              <w:rPr>
                <w:rFonts w:cs="Arial"/>
                <w:sz w:val="20"/>
                <w:szCs w:val="20"/>
              </w:rPr>
            </w:pPr>
          </w:p>
          <w:p w:rsidR="00D501DC" w:rsidRDefault="00D501DC" w:rsidP="0097428C">
            <w:pPr>
              <w:rPr>
                <w:rFonts w:cs="Arial"/>
                <w:sz w:val="20"/>
                <w:szCs w:val="20"/>
              </w:rPr>
            </w:pPr>
          </w:p>
          <w:p w:rsidR="00D501DC" w:rsidRPr="00F657B4" w:rsidRDefault="00D501DC" w:rsidP="0097428C">
            <w:pPr>
              <w:rPr>
                <w:rFonts w:cs="Arial"/>
                <w:sz w:val="20"/>
                <w:szCs w:val="20"/>
              </w:rPr>
            </w:pPr>
            <w:r w:rsidRPr="00F657B4">
              <w:rPr>
                <w:rFonts w:cs="Arial"/>
                <w:sz w:val="20"/>
                <w:szCs w:val="20"/>
              </w:rPr>
              <w:t xml:space="preserve">The approach proposed in this Consultation Paper remains as at PFAR, with regard to the minimum age labelling permissions. </w:t>
            </w:r>
          </w:p>
        </w:tc>
      </w:tr>
    </w:tbl>
    <w:p w:rsidR="000C7E7A" w:rsidRPr="00204367" w:rsidRDefault="000C7E7A" w:rsidP="006F71FE">
      <w:pPr>
        <w:rPr>
          <w:rFonts w:cs="Arial"/>
        </w:rPr>
      </w:pPr>
    </w:p>
    <w:sectPr w:rsidR="000C7E7A" w:rsidRPr="00204367" w:rsidSect="006F71FE">
      <w:headerReference w:type="even" r:id="rId9"/>
      <w:headerReference w:type="default" r:id="rId10"/>
      <w:footerReference w:type="even" r:id="rId11"/>
      <w:footerReference w:type="default" r:id="rId12"/>
      <w:headerReference w:type="first" r:id="rId13"/>
      <w:footerReference w:type="first" r:id="rId14"/>
      <w:pgSz w:w="16838" w:h="11906" w:orient="landscape"/>
      <w:pgMar w:top="1276"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D1F" w:rsidRDefault="00CA0D1F" w:rsidP="00CA0D1F">
      <w:r>
        <w:separator/>
      </w:r>
    </w:p>
  </w:endnote>
  <w:endnote w:type="continuationSeparator" w:id="0">
    <w:p w:rsidR="00CA0D1F" w:rsidRDefault="00CA0D1F" w:rsidP="00CA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vantGarde-Book">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DD3" w:rsidRDefault="00384D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32209"/>
      <w:docPartObj>
        <w:docPartGallery w:val="Page Numbers (Bottom of Page)"/>
        <w:docPartUnique/>
      </w:docPartObj>
    </w:sdtPr>
    <w:sdtEndPr>
      <w:rPr>
        <w:noProof/>
        <w:sz w:val="20"/>
      </w:rPr>
    </w:sdtEndPr>
    <w:sdtContent>
      <w:p w:rsidR="00391E6A" w:rsidRPr="00F96B80" w:rsidRDefault="00F96B80" w:rsidP="00F96B80">
        <w:pPr>
          <w:pStyle w:val="Footer"/>
          <w:jc w:val="center"/>
          <w:rPr>
            <w:sz w:val="20"/>
          </w:rPr>
        </w:pPr>
        <w:r w:rsidRPr="00F96B80">
          <w:rPr>
            <w:sz w:val="20"/>
          </w:rPr>
          <w:fldChar w:fldCharType="begin"/>
        </w:r>
        <w:r w:rsidRPr="00F96B80">
          <w:rPr>
            <w:sz w:val="20"/>
          </w:rPr>
          <w:instrText xml:space="preserve"> PAGE   \* MERGEFORMAT </w:instrText>
        </w:r>
        <w:r w:rsidRPr="00F96B80">
          <w:rPr>
            <w:sz w:val="20"/>
          </w:rPr>
          <w:fldChar w:fldCharType="separate"/>
        </w:r>
        <w:r w:rsidR="00384DD3">
          <w:rPr>
            <w:noProof/>
            <w:sz w:val="20"/>
          </w:rPr>
          <w:t>2</w:t>
        </w:r>
        <w:r w:rsidRPr="00F96B80">
          <w:rPr>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DD3" w:rsidRDefault="00384D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D1F" w:rsidRDefault="00CA0D1F" w:rsidP="00CA0D1F">
      <w:r>
        <w:separator/>
      </w:r>
    </w:p>
  </w:footnote>
  <w:footnote w:type="continuationSeparator" w:id="0">
    <w:p w:rsidR="00CA0D1F" w:rsidRDefault="00CA0D1F" w:rsidP="00CA0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DD3" w:rsidRDefault="00384D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DD3" w:rsidRDefault="00384D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DD3" w:rsidRDefault="00384D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4F030D"/>
    <w:multiLevelType w:val="hybridMultilevel"/>
    <w:tmpl w:val="8588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8C51DC2"/>
    <w:multiLevelType w:val="hybridMultilevel"/>
    <w:tmpl w:val="CA6AB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6"/>
  </w:num>
  <w:num w:numId="6">
    <w:abstractNumId w:val="2"/>
  </w:num>
  <w:num w:numId="7">
    <w:abstractNumId w:val="4"/>
  </w:num>
  <w:num w:numId="8">
    <w:abstractNumId w:val="0"/>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removePersonalInformation/>
  <w:removeDateAndTime/>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E7A"/>
    <w:rsid w:val="000201B7"/>
    <w:rsid w:val="00037C58"/>
    <w:rsid w:val="00044EC6"/>
    <w:rsid w:val="000C7E7A"/>
    <w:rsid w:val="000E5409"/>
    <w:rsid w:val="000F3A24"/>
    <w:rsid w:val="00100200"/>
    <w:rsid w:val="00137F55"/>
    <w:rsid w:val="001B192E"/>
    <w:rsid w:val="00236875"/>
    <w:rsid w:val="00384DD3"/>
    <w:rsid w:val="00391E6A"/>
    <w:rsid w:val="003D2CBC"/>
    <w:rsid w:val="00423A03"/>
    <w:rsid w:val="004F07DC"/>
    <w:rsid w:val="00552821"/>
    <w:rsid w:val="00552E6C"/>
    <w:rsid w:val="005B7635"/>
    <w:rsid w:val="006229C0"/>
    <w:rsid w:val="006578AB"/>
    <w:rsid w:val="00693F81"/>
    <w:rsid w:val="006F71FE"/>
    <w:rsid w:val="00824669"/>
    <w:rsid w:val="00841A46"/>
    <w:rsid w:val="0090493B"/>
    <w:rsid w:val="00953FA5"/>
    <w:rsid w:val="00977087"/>
    <w:rsid w:val="00A20C72"/>
    <w:rsid w:val="00A60A79"/>
    <w:rsid w:val="00AE6913"/>
    <w:rsid w:val="00B27E77"/>
    <w:rsid w:val="00C54B73"/>
    <w:rsid w:val="00CA0D1F"/>
    <w:rsid w:val="00D04BA5"/>
    <w:rsid w:val="00D501DC"/>
    <w:rsid w:val="00DD185A"/>
    <w:rsid w:val="00E85DE6"/>
    <w:rsid w:val="00F96B80"/>
    <w:rsid w:val="00FC64E6"/>
    <w:rsid w:val="00FF06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qFormat="1"/>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0C7E7A"/>
    <w:pPr>
      <w:spacing w:after="0" w:line="240" w:lineRule="auto"/>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841A46"/>
    <w:pPr>
      <w:keepNext/>
      <w:widowControl w:val="0"/>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841A46"/>
    <w:pPr>
      <w:keepNext/>
      <w:framePr w:hSpace="180" w:wrap="around" w:vAnchor="text" w:hAnchor="margin" w:x="-324" w:y="43"/>
      <w:widowControl w:val="0"/>
      <w:spacing w:before="120" w:after="120" w:line="288" w:lineRule="atLeast"/>
      <w:ind w:left="1134" w:hanging="1134"/>
      <w:outlineLvl w:val="1"/>
    </w:pPr>
    <w:rPr>
      <w:rFonts w:eastAsiaTheme="majorEastAsia" w:cs="Arial"/>
      <w:b/>
      <w:bCs/>
      <w:color w:val="333399"/>
      <w:sz w:val="20"/>
      <w:szCs w:val="20"/>
      <w:lang w:bidi="ar-SA"/>
    </w:rPr>
  </w:style>
  <w:style w:type="paragraph" w:styleId="Heading3">
    <w:name w:val="heading 3"/>
    <w:aliases w:val="FSHeading 3,Subheading 1"/>
    <w:basedOn w:val="Normal"/>
    <w:next w:val="Normal"/>
    <w:link w:val="Heading3Char"/>
    <w:autoRedefine/>
    <w:uiPriority w:val="9"/>
    <w:unhideWhenUsed/>
    <w:qFormat/>
    <w:rsid w:val="00841A46"/>
    <w:pPr>
      <w:keepNext/>
      <w:widowControl w:val="0"/>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9"/>
    <w:unhideWhenUsed/>
    <w:qFormat/>
    <w:rsid w:val="00841A46"/>
    <w:pPr>
      <w:keepNext/>
      <w:widowControl w:val="0"/>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9"/>
    <w:unhideWhenUsed/>
    <w:qFormat/>
    <w:rsid w:val="00841A46"/>
    <w:pPr>
      <w:keepNext/>
      <w:widowControl w:val="0"/>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semiHidden/>
    <w:unhideWhenUsed/>
    <w:qFormat/>
    <w:rsid w:val="00841A46"/>
    <w:pPr>
      <w:keepNext/>
      <w:keepLines/>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SBullet1">
    <w:name w:val="FSBullet 1"/>
    <w:basedOn w:val="Normal"/>
    <w:next w:val="Normal"/>
    <w:link w:val="FSBullet1Char"/>
    <w:qFormat/>
    <w:rsid w:val="00841A46"/>
    <w:pPr>
      <w:ind w:left="360" w:hanging="360"/>
    </w:pPr>
    <w:rPr>
      <w:rFonts w:cs="Arial"/>
      <w:lang w:bidi="ar-SA"/>
    </w:rPr>
  </w:style>
  <w:style w:type="character" w:customStyle="1" w:styleId="FSBullet1Char">
    <w:name w:val="FSBullet 1 Char"/>
    <w:basedOn w:val="DefaultParagraphFont"/>
    <w:link w:val="FSBullet1"/>
    <w:rsid w:val="00841A46"/>
    <w:rPr>
      <w:rFonts w:eastAsia="Times New Roman"/>
      <w:szCs w:val="24"/>
      <w:lang w:val="en-GB"/>
    </w:rPr>
  </w:style>
  <w:style w:type="paragraph" w:customStyle="1" w:styleId="FSBullet2">
    <w:name w:val="FSBullet 2"/>
    <w:basedOn w:val="Normal"/>
    <w:qFormat/>
    <w:rsid w:val="00841A46"/>
    <w:pPr>
      <w:numPr>
        <w:numId w:val="6"/>
      </w:numPr>
    </w:pPr>
    <w:rPr>
      <w:rFonts w:eastAsiaTheme="minorHAnsi" w:cstheme="minorBidi"/>
      <w:szCs w:val="22"/>
      <w:lang w:bidi="ar-SA"/>
    </w:rPr>
  </w:style>
  <w:style w:type="paragraph" w:customStyle="1" w:styleId="FSBullet3">
    <w:name w:val="FSBullet 3"/>
    <w:basedOn w:val="Normal"/>
    <w:qFormat/>
    <w:rsid w:val="00841A46"/>
    <w:pPr>
      <w:keepNext/>
      <w:numPr>
        <w:numId w:val="7"/>
      </w:numPr>
    </w:pPr>
    <w:rPr>
      <w:rFonts w:eastAsiaTheme="minorHAnsi" w:cstheme="minorBidi"/>
      <w:b/>
      <w:szCs w:val="22"/>
      <w:lang w:bidi="ar-SA"/>
    </w:rPr>
  </w:style>
  <w:style w:type="paragraph" w:customStyle="1" w:styleId="FSCaption">
    <w:name w:val="FSCaption"/>
    <w:basedOn w:val="Normal"/>
    <w:qFormat/>
    <w:rsid w:val="00841A46"/>
    <w:pPr>
      <w:keepNext/>
      <w:keepLines/>
      <w:spacing w:before="120"/>
    </w:pPr>
    <w:rPr>
      <w:rFonts w:eastAsiaTheme="minorHAnsi" w:cstheme="minorBidi"/>
      <w:i/>
      <w:sz w:val="16"/>
      <w:szCs w:val="16"/>
      <w:lang w:bidi="ar-SA"/>
    </w:rPr>
  </w:style>
  <w:style w:type="paragraph" w:customStyle="1" w:styleId="FSCfooter">
    <w:name w:val="FSCfooter"/>
    <w:basedOn w:val="Normal"/>
    <w:qFormat/>
    <w:rsid w:val="00841A46"/>
    <w:pPr>
      <w:tabs>
        <w:tab w:val="center" w:pos="4536"/>
        <w:tab w:val="right" w:pos="9072"/>
      </w:tabs>
    </w:pPr>
    <w:rPr>
      <w:sz w:val="18"/>
      <w:szCs w:val="20"/>
      <w:lang w:bidi="ar-SA"/>
    </w:rPr>
  </w:style>
  <w:style w:type="paragraph" w:customStyle="1" w:styleId="FSCFooter0">
    <w:name w:val="FSCFooter"/>
    <w:basedOn w:val="Normal"/>
    <w:qFormat/>
    <w:rsid w:val="00841A46"/>
    <w:pPr>
      <w:widowControl w:val="0"/>
      <w:tabs>
        <w:tab w:val="center" w:pos="4536"/>
        <w:tab w:val="right" w:pos="9070"/>
      </w:tabs>
    </w:pPr>
    <w:rPr>
      <w:sz w:val="18"/>
      <w:szCs w:val="18"/>
      <w:lang w:bidi="ar-SA"/>
    </w:rPr>
  </w:style>
  <w:style w:type="paragraph" w:customStyle="1" w:styleId="FSPagenumber">
    <w:name w:val="FSPage number"/>
    <w:basedOn w:val="Normal"/>
    <w:qFormat/>
    <w:rsid w:val="00841A46"/>
    <w:pPr>
      <w:jc w:val="right"/>
    </w:pPr>
    <w:rPr>
      <w:rFonts w:eastAsiaTheme="minorHAnsi" w:cstheme="minorBidi"/>
      <w:sz w:val="20"/>
      <w:szCs w:val="20"/>
      <w:lang w:bidi="ar-SA"/>
    </w:rPr>
  </w:style>
  <w:style w:type="paragraph" w:customStyle="1" w:styleId="FSTableColumnRowheading">
    <w:name w:val="FSTable Column/Row heading"/>
    <w:basedOn w:val="Normal"/>
    <w:qFormat/>
    <w:rsid w:val="00841A46"/>
    <w:pPr>
      <w:spacing w:before="120" w:after="120"/>
    </w:pPr>
    <w:rPr>
      <w:rFonts w:eastAsiaTheme="minorHAnsi" w:cstheme="minorBidi"/>
      <w:b/>
      <w:sz w:val="20"/>
      <w:szCs w:val="20"/>
      <w:lang w:bidi="ar-SA"/>
    </w:rPr>
  </w:style>
  <w:style w:type="paragraph" w:customStyle="1" w:styleId="FSTableFigureHeading">
    <w:name w:val="FSTable/Figure Heading"/>
    <w:basedOn w:val="Normal"/>
    <w:qFormat/>
    <w:rsid w:val="00841A46"/>
    <w:pPr>
      <w:spacing w:before="120" w:after="120"/>
      <w:ind w:left="1134" w:hanging="1134"/>
    </w:pPr>
    <w:rPr>
      <w:rFonts w:eastAsiaTheme="minorHAnsi" w:cstheme="minorBidi"/>
      <w:b/>
      <w:i/>
      <w:szCs w:val="22"/>
      <w:lang w:bidi="ar-SA"/>
    </w:rPr>
  </w:style>
  <w:style w:type="paragraph" w:customStyle="1" w:styleId="FSBullet">
    <w:name w:val="FS Bullet"/>
    <w:basedOn w:val="Normal"/>
    <w:next w:val="Normal"/>
    <w:link w:val="FSBulletChar"/>
    <w:qFormat/>
    <w:rsid w:val="00841A46"/>
    <w:pPr>
      <w:widowControl w:val="0"/>
      <w:ind w:left="720" w:hanging="360"/>
    </w:pPr>
    <w:rPr>
      <w:rFonts w:cs="Arial"/>
    </w:rPr>
  </w:style>
  <w:style w:type="character" w:customStyle="1" w:styleId="FSBulletChar">
    <w:name w:val="FS Bullet Char"/>
    <w:basedOn w:val="DefaultParagraphFont"/>
    <w:link w:val="FSBullet"/>
    <w:rsid w:val="00841A46"/>
    <w:rPr>
      <w:rFonts w:eastAsia="Times New Roman"/>
      <w:szCs w:val="24"/>
      <w:lang w:val="en-GB" w:bidi="en-US"/>
    </w:rPr>
  </w:style>
  <w:style w:type="character" w:customStyle="1" w:styleId="Heading1Char">
    <w:name w:val="Heading 1 Char"/>
    <w:aliases w:val="FSHeading 1 Char,Chapter heading Char"/>
    <w:basedOn w:val="DefaultParagraphFont"/>
    <w:link w:val="Heading1"/>
    <w:uiPriority w:val="9"/>
    <w:rsid w:val="00841A46"/>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841A46"/>
    <w:rPr>
      <w:rFonts w:eastAsiaTheme="majorEastAsia"/>
      <w:b/>
      <w:bCs/>
      <w:color w:val="333399"/>
      <w:sz w:val="20"/>
      <w:szCs w:val="20"/>
      <w:lang w:val="en-GB"/>
    </w:rPr>
  </w:style>
  <w:style w:type="character" w:customStyle="1" w:styleId="Heading3Char">
    <w:name w:val="Heading 3 Char"/>
    <w:aliases w:val="FSHeading 3 Char,Subheading 1 Char"/>
    <w:basedOn w:val="DefaultParagraphFont"/>
    <w:link w:val="Heading3"/>
    <w:uiPriority w:val="9"/>
    <w:rsid w:val="00841A46"/>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841A46"/>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841A46"/>
    <w:rPr>
      <w:rFonts w:eastAsiaTheme="majorEastAsia" w:cstheme="majorBidi"/>
      <w:i/>
      <w:lang w:val="en-GB"/>
    </w:rPr>
  </w:style>
  <w:style w:type="character" w:customStyle="1" w:styleId="Heading6Char">
    <w:name w:val="Heading 6 Char"/>
    <w:basedOn w:val="DefaultParagraphFont"/>
    <w:link w:val="Heading6"/>
    <w:uiPriority w:val="9"/>
    <w:semiHidden/>
    <w:rsid w:val="00841A46"/>
    <w:rPr>
      <w:rFonts w:asciiTheme="majorHAnsi" w:eastAsiaTheme="majorEastAsia" w:hAnsiTheme="majorHAnsi" w:cstheme="majorBidi"/>
      <w:i/>
      <w:iCs/>
      <w:color w:val="243F60" w:themeColor="accent1" w:themeShade="7F"/>
      <w:lang w:val="en-GB"/>
    </w:rPr>
  </w:style>
  <w:style w:type="paragraph" w:styleId="FootnoteText">
    <w:name w:val="footnote text"/>
    <w:aliases w:val="FSFootnote Text"/>
    <w:basedOn w:val="Normal"/>
    <w:link w:val="FootnoteTextChar"/>
    <w:uiPriority w:val="99"/>
    <w:unhideWhenUsed/>
    <w:qFormat/>
    <w:rsid w:val="00841A46"/>
    <w:pPr>
      <w:ind w:left="425" w:hanging="425"/>
    </w:pPr>
    <w:rPr>
      <w:rFonts w:eastAsiaTheme="minorHAnsi" w:cstheme="minorBidi"/>
      <w:sz w:val="18"/>
      <w:szCs w:val="20"/>
      <w:lang w:bidi="ar-SA"/>
    </w:rPr>
  </w:style>
  <w:style w:type="character" w:customStyle="1" w:styleId="FootnoteTextChar">
    <w:name w:val="Footnote Text Char"/>
    <w:aliases w:val="FSFootnote Text Char"/>
    <w:basedOn w:val="DefaultParagraphFont"/>
    <w:link w:val="FootnoteText"/>
    <w:uiPriority w:val="99"/>
    <w:rsid w:val="00841A46"/>
    <w:rPr>
      <w:rFonts w:cstheme="minorBidi"/>
      <w:sz w:val="18"/>
      <w:szCs w:val="20"/>
      <w:lang w:val="en-GB"/>
    </w:rPr>
  </w:style>
  <w:style w:type="paragraph" w:styleId="Header">
    <w:name w:val="header"/>
    <w:aliases w:val="FSHeader"/>
    <w:basedOn w:val="Normal"/>
    <w:link w:val="HeaderChar"/>
    <w:uiPriority w:val="99"/>
    <w:unhideWhenUsed/>
    <w:qFormat/>
    <w:rsid w:val="00841A46"/>
    <w:pPr>
      <w:jc w:val="center"/>
    </w:pPr>
    <w:rPr>
      <w:rFonts w:ascii="Arial Bold" w:eastAsiaTheme="minorHAnsi" w:hAnsi="Arial Bold" w:cstheme="minorBidi"/>
      <w:b/>
      <w:caps/>
      <w:szCs w:val="22"/>
      <w:lang w:bidi="ar-SA"/>
    </w:rPr>
  </w:style>
  <w:style w:type="character" w:customStyle="1" w:styleId="HeaderChar">
    <w:name w:val="Header Char"/>
    <w:aliases w:val="FSHeader Char"/>
    <w:basedOn w:val="DefaultParagraphFont"/>
    <w:link w:val="Header"/>
    <w:uiPriority w:val="99"/>
    <w:rsid w:val="00841A46"/>
    <w:rPr>
      <w:rFonts w:ascii="Arial Bold" w:hAnsi="Arial Bold" w:cstheme="minorBidi"/>
      <w:b/>
      <w:caps/>
      <w:lang w:val="en-GB"/>
    </w:rPr>
  </w:style>
  <w:style w:type="paragraph" w:styleId="Title">
    <w:name w:val="Title"/>
    <w:basedOn w:val="Normal"/>
    <w:next w:val="Normal"/>
    <w:link w:val="TitleChar"/>
    <w:uiPriority w:val="10"/>
    <w:qFormat/>
    <w:rsid w:val="00841A4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lang w:bidi="ar-SA"/>
    </w:rPr>
  </w:style>
  <w:style w:type="character" w:customStyle="1" w:styleId="TitleChar">
    <w:name w:val="Title Char"/>
    <w:basedOn w:val="DefaultParagraphFont"/>
    <w:link w:val="Title"/>
    <w:uiPriority w:val="10"/>
    <w:rsid w:val="00841A4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41A46"/>
    <w:pPr>
      <w:numPr>
        <w:ilvl w:val="1"/>
      </w:numPr>
    </w:pPr>
    <w:rPr>
      <w:rFonts w:eastAsiaTheme="majorEastAsia"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841A46"/>
    <w:rPr>
      <w:rFonts w:eastAsiaTheme="majorEastAsia" w:cstheme="majorBidi"/>
      <w:i/>
      <w:iCs/>
      <w:color w:val="4F81BD" w:themeColor="accent1"/>
      <w:spacing w:val="15"/>
      <w:sz w:val="24"/>
      <w:szCs w:val="24"/>
      <w:lang w:val="en-GB"/>
    </w:rPr>
  </w:style>
  <w:style w:type="character" w:styleId="Strong">
    <w:name w:val="Strong"/>
    <w:basedOn w:val="DefaultParagraphFont"/>
    <w:uiPriority w:val="22"/>
    <w:qFormat/>
    <w:rsid w:val="00841A46"/>
    <w:rPr>
      <w:b/>
      <w:bCs/>
    </w:rPr>
  </w:style>
  <w:style w:type="character" w:styleId="Emphasis">
    <w:name w:val="Emphasis"/>
    <w:basedOn w:val="DefaultParagraphFont"/>
    <w:uiPriority w:val="20"/>
    <w:qFormat/>
    <w:rsid w:val="00841A46"/>
    <w:rPr>
      <w:i/>
      <w:iCs/>
    </w:rPr>
  </w:style>
  <w:style w:type="paragraph" w:styleId="ListParagraph">
    <w:name w:val="List Paragraph"/>
    <w:basedOn w:val="Normal"/>
    <w:uiPriority w:val="34"/>
    <w:qFormat/>
    <w:rsid w:val="00841A46"/>
    <w:pPr>
      <w:ind w:left="720"/>
      <w:contextualSpacing/>
    </w:pPr>
    <w:rPr>
      <w:rFonts w:eastAsiaTheme="minorHAnsi" w:cstheme="minorBidi"/>
      <w:szCs w:val="22"/>
      <w:lang w:bidi="ar-SA"/>
    </w:rPr>
  </w:style>
  <w:style w:type="paragraph" w:styleId="Quote">
    <w:name w:val="Quote"/>
    <w:basedOn w:val="Normal"/>
    <w:next w:val="Normal"/>
    <w:link w:val="QuoteChar"/>
    <w:uiPriority w:val="29"/>
    <w:qFormat/>
    <w:rsid w:val="00841A46"/>
    <w:rPr>
      <w:rFonts w:eastAsiaTheme="minorHAnsi" w:cs="Arial"/>
      <w:i/>
      <w:iCs/>
      <w:color w:val="000000" w:themeColor="text1"/>
      <w:szCs w:val="22"/>
      <w:lang w:bidi="ar-SA"/>
    </w:rPr>
  </w:style>
  <w:style w:type="character" w:customStyle="1" w:styleId="QuoteChar">
    <w:name w:val="Quote Char"/>
    <w:basedOn w:val="DefaultParagraphFont"/>
    <w:link w:val="Quote"/>
    <w:uiPriority w:val="29"/>
    <w:rsid w:val="00841A46"/>
    <w:rPr>
      <w:i/>
      <w:iCs/>
      <w:color w:val="000000" w:themeColor="text1"/>
      <w:lang w:val="en-GB"/>
    </w:rPr>
  </w:style>
  <w:style w:type="character" w:styleId="SubtleEmphasis">
    <w:name w:val="Subtle Emphasis"/>
    <w:basedOn w:val="DefaultParagraphFont"/>
    <w:uiPriority w:val="19"/>
    <w:qFormat/>
    <w:rsid w:val="00841A46"/>
    <w:rPr>
      <w:i/>
      <w:iCs/>
      <w:color w:val="808080" w:themeColor="text1" w:themeTint="7F"/>
    </w:rPr>
  </w:style>
  <w:style w:type="paragraph" w:styleId="TOCHeading">
    <w:name w:val="TOC Heading"/>
    <w:basedOn w:val="Heading1"/>
    <w:next w:val="Normal"/>
    <w:uiPriority w:val="39"/>
    <w:semiHidden/>
    <w:unhideWhenUsed/>
    <w:qFormat/>
    <w:rsid w:val="00841A46"/>
    <w:pPr>
      <w:outlineLvl w:val="9"/>
    </w:pPr>
    <w:rPr>
      <w:rFonts w:asciiTheme="majorHAnsi" w:hAnsiTheme="majorHAnsi"/>
    </w:rPr>
  </w:style>
  <w:style w:type="paragraph" w:customStyle="1" w:styleId="FSTableText">
    <w:name w:val="FS Table Text"/>
    <w:basedOn w:val="Normal"/>
    <w:qFormat/>
    <w:rsid w:val="000C7E7A"/>
    <w:rPr>
      <w:rFonts w:cs="Arial"/>
      <w:sz w:val="20"/>
      <w:szCs w:val="20"/>
    </w:rPr>
  </w:style>
  <w:style w:type="character" w:styleId="CommentReference">
    <w:name w:val="annotation reference"/>
    <w:rsid w:val="000C7E7A"/>
    <w:rPr>
      <w:sz w:val="16"/>
      <w:szCs w:val="16"/>
    </w:rPr>
  </w:style>
  <w:style w:type="paragraph" w:styleId="CommentText">
    <w:name w:val="annotation text"/>
    <w:basedOn w:val="Normal"/>
    <w:link w:val="CommentTextChar"/>
    <w:rsid w:val="000C7E7A"/>
    <w:rPr>
      <w:sz w:val="20"/>
      <w:szCs w:val="20"/>
    </w:rPr>
  </w:style>
  <w:style w:type="character" w:customStyle="1" w:styleId="CommentTextChar">
    <w:name w:val="Comment Text Char"/>
    <w:basedOn w:val="DefaultParagraphFont"/>
    <w:link w:val="CommentText"/>
    <w:rsid w:val="000C7E7A"/>
    <w:rPr>
      <w:rFonts w:eastAsia="Times New Roman" w:cs="Times New Roman"/>
      <w:sz w:val="20"/>
      <w:szCs w:val="20"/>
      <w:lang w:val="en-GB" w:bidi="en-US"/>
    </w:rPr>
  </w:style>
  <w:style w:type="paragraph" w:styleId="BodyTextIndent">
    <w:name w:val="Body Text Indent"/>
    <w:basedOn w:val="Normal"/>
    <w:link w:val="BodyTextIndentChar"/>
    <w:rsid w:val="000C7E7A"/>
    <w:pPr>
      <w:spacing w:after="120"/>
      <w:ind w:left="360"/>
    </w:pPr>
  </w:style>
  <w:style w:type="character" w:customStyle="1" w:styleId="BodyTextIndentChar">
    <w:name w:val="Body Text Indent Char"/>
    <w:basedOn w:val="DefaultParagraphFont"/>
    <w:link w:val="BodyTextIndent"/>
    <w:rsid w:val="000C7E7A"/>
    <w:rPr>
      <w:rFonts w:eastAsia="Times New Roman" w:cs="Times New Roman"/>
      <w:szCs w:val="24"/>
      <w:lang w:val="en-GB" w:bidi="en-US"/>
    </w:rPr>
  </w:style>
  <w:style w:type="paragraph" w:styleId="BalloonText">
    <w:name w:val="Balloon Text"/>
    <w:basedOn w:val="Normal"/>
    <w:link w:val="BalloonTextChar"/>
    <w:uiPriority w:val="99"/>
    <w:semiHidden/>
    <w:unhideWhenUsed/>
    <w:rsid w:val="000C7E7A"/>
    <w:rPr>
      <w:rFonts w:ascii="Tahoma" w:hAnsi="Tahoma" w:cs="Tahoma"/>
      <w:sz w:val="16"/>
      <w:szCs w:val="16"/>
    </w:rPr>
  </w:style>
  <w:style w:type="character" w:customStyle="1" w:styleId="BalloonTextChar">
    <w:name w:val="Balloon Text Char"/>
    <w:basedOn w:val="DefaultParagraphFont"/>
    <w:link w:val="BalloonText"/>
    <w:uiPriority w:val="99"/>
    <w:semiHidden/>
    <w:rsid w:val="000C7E7A"/>
    <w:rPr>
      <w:rFonts w:ascii="Tahoma" w:eastAsia="Times New Roman" w:hAnsi="Tahoma" w:cs="Tahoma"/>
      <w:sz w:val="16"/>
      <w:szCs w:val="16"/>
      <w:lang w:val="en-GB" w:bidi="en-US"/>
    </w:rPr>
  </w:style>
  <w:style w:type="paragraph" w:customStyle="1" w:styleId="FSTitle">
    <w:name w:val="FS Title"/>
    <w:basedOn w:val="Normal"/>
    <w:qFormat/>
    <w:rsid w:val="00693F81"/>
    <w:pPr>
      <w:widowControl w:val="0"/>
    </w:pPr>
    <w:rPr>
      <w:rFonts w:cs="Tahoma"/>
      <w:bCs/>
      <w:sz w:val="32"/>
    </w:rPr>
  </w:style>
  <w:style w:type="paragraph" w:customStyle="1" w:styleId="Body1">
    <w:name w:val="Body 1"/>
    <w:rsid w:val="00CA0D1F"/>
    <w:pPr>
      <w:spacing w:after="0" w:line="240" w:lineRule="auto"/>
      <w:outlineLvl w:val="0"/>
    </w:pPr>
    <w:rPr>
      <w:rFonts w:eastAsia="Arial Unicode MS" w:cs="Times New Roman"/>
      <w:color w:val="000000"/>
      <w:szCs w:val="20"/>
      <w:u w:color="000000"/>
      <w:lang w:val="en-GB" w:eastAsia="en-GB"/>
    </w:rPr>
  </w:style>
  <w:style w:type="paragraph" w:styleId="Footer">
    <w:name w:val="footer"/>
    <w:basedOn w:val="Normal"/>
    <w:link w:val="FooterChar"/>
    <w:uiPriority w:val="99"/>
    <w:unhideWhenUsed/>
    <w:rsid w:val="00CA0D1F"/>
    <w:pPr>
      <w:tabs>
        <w:tab w:val="center" w:pos="4513"/>
        <w:tab w:val="right" w:pos="9026"/>
      </w:tabs>
    </w:pPr>
  </w:style>
  <w:style w:type="character" w:customStyle="1" w:styleId="FooterChar">
    <w:name w:val="Footer Char"/>
    <w:basedOn w:val="DefaultParagraphFont"/>
    <w:link w:val="Footer"/>
    <w:uiPriority w:val="99"/>
    <w:rsid w:val="00CA0D1F"/>
    <w:rPr>
      <w:rFonts w:eastAsia="Times New Roman" w:cs="Times New Roman"/>
      <w:szCs w:val="24"/>
      <w:lang w:val="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qFormat="1"/>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0C7E7A"/>
    <w:pPr>
      <w:spacing w:after="0" w:line="240" w:lineRule="auto"/>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841A46"/>
    <w:pPr>
      <w:keepNext/>
      <w:widowControl w:val="0"/>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841A46"/>
    <w:pPr>
      <w:keepNext/>
      <w:framePr w:hSpace="180" w:wrap="around" w:vAnchor="text" w:hAnchor="margin" w:x="-324" w:y="43"/>
      <w:widowControl w:val="0"/>
      <w:spacing w:before="120" w:after="120" w:line="288" w:lineRule="atLeast"/>
      <w:ind w:left="1134" w:hanging="1134"/>
      <w:outlineLvl w:val="1"/>
    </w:pPr>
    <w:rPr>
      <w:rFonts w:eastAsiaTheme="majorEastAsia" w:cs="Arial"/>
      <w:b/>
      <w:bCs/>
      <w:color w:val="333399"/>
      <w:sz w:val="20"/>
      <w:szCs w:val="20"/>
      <w:lang w:bidi="ar-SA"/>
    </w:rPr>
  </w:style>
  <w:style w:type="paragraph" w:styleId="Heading3">
    <w:name w:val="heading 3"/>
    <w:aliases w:val="FSHeading 3,Subheading 1"/>
    <w:basedOn w:val="Normal"/>
    <w:next w:val="Normal"/>
    <w:link w:val="Heading3Char"/>
    <w:autoRedefine/>
    <w:uiPriority w:val="9"/>
    <w:unhideWhenUsed/>
    <w:qFormat/>
    <w:rsid w:val="00841A46"/>
    <w:pPr>
      <w:keepNext/>
      <w:widowControl w:val="0"/>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9"/>
    <w:unhideWhenUsed/>
    <w:qFormat/>
    <w:rsid w:val="00841A46"/>
    <w:pPr>
      <w:keepNext/>
      <w:widowControl w:val="0"/>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9"/>
    <w:unhideWhenUsed/>
    <w:qFormat/>
    <w:rsid w:val="00841A46"/>
    <w:pPr>
      <w:keepNext/>
      <w:widowControl w:val="0"/>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semiHidden/>
    <w:unhideWhenUsed/>
    <w:qFormat/>
    <w:rsid w:val="00841A46"/>
    <w:pPr>
      <w:keepNext/>
      <w:keepLines/>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SBullet1">
    <w:name w:val="FSBullet 1"/>
    <w:basedOn w:val="Normal"/>
    <w:next w:val="Normal"/>
    <w:link w:val="FSBullet1Char"/>
    <w:qFormat/>
    <w:rsid w:val="00841A46"/>
    <w:pPr>
      <w:ind w:left="360" w:hanging="360"/>
    </w:pPr>
    <w:rPr>
      <w:rFonts w:cs="Arial"/>
      <w:lang w:bidi="ar-SA"/>
    </w:rPr>
  </w:style>
  <w:style w:type="character" w:customStyle="1" w:styleId="FSBullet1Char">
    <w:name w:val="FSBullet 1 Char"/>
    <w:basedOn w:val="DefaultParagraphFont"/>
    <w:link w:val="FSBullet1"/>
    <w:rsid w:val="00841A46"/>
    <w:rPr>
      <w:rFonts w:eastAsia="Times New Roman"/>
      <w:szCs w:val="24"/>
      <w:lang w:val="en-GB"/>
    </w:rPr>
  </w:style>
  <w:style w:type="paragraph" w:customStyle="1" w:styleId="FSBullet2">
    <w:name w:val="FSBullet 2"/>
    <w:basedOn w:val="Normal"/>
    <w:qFormat/>
    <w:rsid w:val="00841A46"/>
    <w:pPr>
      <w:numPr>
        <w:numId w:val="6"/>
      </w:numPr>
    </w:pPr>
    <w:rPr>
      <w:rFonts w:eastAsiaTheme="minorHAnsi" w:cstheme="minorBidi"/>
      <w:szCs w:val="22"/>
      <w:lang w:bidi="ar-SA"/>
    </w:rPr>
  </w:style>
  <w:style w:type="paragraph" w:customStyle="1" w:styleId="FSBullet3">
    <w:name w:val="FSBullet 3"/>
    <w:basedOn w:val="Normal"/>
    <w:qFormat/>
    <w:rsid w:val="00841A46"/>
    <w:pPr>
      <w:keepNext/>
      <w:numPr>
        <w:numId w:val="7"/>
      </w:numPr>
    </w:pPr>
    <w:rPr>
      <w:rFonts w:eastAsiaTheme="minorHAnsi" w:cstheme="minorBidi"/>
      <w:b/>
      <w:szCs w:val="22"/>
      <w:lang w:bidi="ar-SA"/>
    </w:rPr>
  </w:style>
  <w:style w:type="paragraph" w:customStyle="1" w:styleId="FSCaption">
    <w:name w:val="FSCaption"/>
    <w:basedOn w:val="Normal"/>
    <w:qFormat/>
    <w:rsid w:val="00841A46"/>
    <w:pPr>
      <w:keepNext/>
      <w:keepLines/>
      <w:spacing w:before="120"/>
    </w:pPr>
    <w:rPr>
      <w:rFonts w:eastAsiaTheme="minorHAnsi" w:cstheme="minorBidi"/>
      <w:i/>
      <w:sz w:val="16"/>
      <w:szCs w:val="16"/>
      <w:lang w:bidi="ar-SA"/>
    </w:rPr>
  </w:style>
  <w:style w:type="paragraph" w:customStyle="1" w:styleId="FSCfooter">
    <w:name w:val="FSCfooter"/>
    <w:basedOn w:val="Normal"/>
    <w:qFormat/>
    <w:rsid w:val="00841A46"/>
    <w:pPr>
      <w:tabs>
        <w:tab w:val="center" w:pos="4536"/>
        <w:tab w:val="right" w:pos="9072"/>
      </w:tabs>
    </w:pPr>
    <w:rPr>
      <w:sz w:val="18"/>
      <w:szCs w:val="20"/>
      <w:lang w:bidi="ar-SA"/>
    </w:rPr>
  </w:style>
  <w:style w:type="paragraph" w:customStyle="1" w:styleId="FSCFooter0">
    <w:name w:val="FSCFooter"/>
    <w:basedOn w:val="Normal"/>
    <w:qFormat/>
    <w:rsid w:val="00841A46"/>
    <w:pPr>
      <w:widowControl w:val="0"/>
      <w:tabs>
        <w:tab w:val="center" w:pos="4536"/>
        <w:tab w:val="right" w:pos="9070"/>
      </w:tabs>
    </w:pPr>
    <w:rPr>
      <w:sz w:val="18"/>
      <w:szCs w:val="18"/>
      <w:lang w:bidi="ar-SA"/>
    </w:rPr>
  </w:style>
  <w:style w:type="paragraph" w:customStyle="1" w:styleId="FSPagenumber">
    <w:name w:val="FSPage number"/>
    <w:basedOn w:val="Normal"/>
    <w:qFormat/>
    <w:rsid w:val="00841A46"/>
    <w:pPr>
      <w:jc w:val="right"/>
    </w:pPr>
    <w:rPr>
      <w:rFonts w:eastAsiaTheme="minorHAnsi" w:cstheme="minorBidi"/>
      <w:sz w:val="20"/>
      <w:szCs w:val="20"/>
      <w:lang w:bidi="ar-SA"/>
    </w:rPr>
  </w:style>
  <w:style w:type="paragraph" w:customStyle="1" w:styleId="FSTableColumnRowheading">
    <w:name w:val="FSTable Column/Row heading"/>
    <w:basedOn w:val="Normal"/>
    <w:qFormat/>
    <w:rsid w:val="00841A46"/>
    <w:pPr>
      <w:spacing w:before="120" w:after="120"/>
    </w:pPr>
    <w:rPr>
      <w:rFonts w:eastAsiaTheme="minorHAnsi" w:cstheme="minorBidi"/>
      <w:b/>
      <w:sz w:val="20"/>
      <w:szCs w:val="20"/>
      <w:lang w:bidi="ar-SA"/>
    </w:rPr>
  </w:style>
  <w:style w:type="paragraph" w:customStyle="1" w:styleId="FSTableFigureHeading">
    <w:name w:val="FSTable/Figure Heading"/>
    <w:basedOn w:val="Normal"/>
    <w:qFormat/>
    <w:rsid w:val="00841A46"/>
    <w:pPr>
      <w:spacing w:before="120" w:after="120"/>
      <w:ind w:left="1134" w:hanging="1134"/>
    </w:pPr>
    <w:rPr>
      <w:rFonts w:eastAsiaTheme="minorHAnsi" w:cstheme="minorBidi"/>
      <w:b/>
      <w:i/>
      <w:szCs w:val="22"/>
      <w:lang w:bidi="ar-SA"/>
    </w:rPr>
  </w:style>
  <w:style w:type="paragraph" w:customStyle="1" w:styleId="FSBullet">
    <w:name w:val="FS Bullet"/>
    <w:basedOn w:val="Normal"/>
    <w:next w:val="Normal"/>
    <w:link w:val="FSBulletChar"/>
    <w:qFormat/>
    <w:rsid w:val="00841A46"/>
    <w:pPr>
      <w:widowControl w:val="0"/>
      <w:ind w:left="720" w:hanging="360"/>
    </w:pPr>
    <w:rPr>
      <w:rFonts w:cs="Arial"/>
    </w:rPr>
  </w:style>
  <w:style w:type="character" w:customStyle="1" w:styleId="FSBulletChar">
    <w:name w:val="FS Bullet Char"/>
    <w:basedOn w:val="DefaultParagraphFont"/>
    <w:link w:val="FSBullet"/>
    <w:rsid w:val="00841A46"/>
    <w:rPr>
      <w:rFonts w:eastAsia="Times New Roman"/>
      <w:szCs w:val="24"/>
      <w:lang w:val="en-GB" w:bidi="en-US"/>
    </w:rPr>
  </w:style>
  <w:style w:type="character" w:customStyle="1" w:styleId="Heading1Char">
    <w:name w:val="Heading 1 Char"/>
    <w:aliases w:val="FSHeading 1 Char,Chapter heading Char"/>
    <w:basedOn w:val="DefaultParagraphFont"/>
    <w:link w:val="Heading1"/>
    <w:uiPriority w:val="9"/>
    <w:rsid w:val="00841A46"/>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841A46"/>
    <w:rPr>
      <w:rFonts w:eastAsiaTheme="majorEastAsia"/>
      <w:b/>
      <w:bCs/>
      <w:color w:val="333399"/>
      <w:sz w:val="20"/>
      <w:szCs w:val="20"/>
      <w:lang w:val="en-GB"/>
    </w:rPr>
  </w:style>
  <w:style w:type="character" w:customStyle="1" w:styleId="Heading3Char">
    <w:name w:val="Heading 3 Char"/>
    <w:aliases w:val="FSHeading 3 Char,Subheading 1 Char"/>
    <w:basedOn w:val="DefaultParagraphFont"/>
    <w:link w:val="Heading3"/>
    <w:uiPriority w:val="9"/>
    <w:rsid w:val="00841A46"/>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841A46"/>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841A46"/>
    <w:rPr>
      <w:rFonts w:eastAsiaTheme="majorEastAsia" w:cstheme="majorBidi"/>
      <w:i/>
      <w:lang w:val="en-GB"/>
    </w:rPr>
  </w:style>
  <w:style w:type="character" w:customStyle="1" w:styleId="Heading6Char">
    <w:name w:val="Heading 6 Char"/>
    <w:basedOn w:val="DefaultParagraphFont"/>
    <w:link w:val="Heading6"/>
    <w:uiPriority w:val="9"/>
    <w:semiHidden/>
    <w:rsid w:val="00841A46"/>
    <w:rPr>
      <w:rFonts w:asciiTheme="majorHAnsi" w:eastAsiaTheme="majorEastAsia" w:hAnsiTheme="majorHAnsi" w:cstheme="majorBidi"/>
      <w:i/>
      <w:iCs/>
      <w:color w:val="243F60" w:themeColor="accent1" w:themeShade="7F"/>
      <w:lang w:val="en-GB"/>
    </w:rPr>
  </w:style>
  <w:style w:type="paragraph" w:styleId="FootnoteText">
    <w:name w:val="footnote text"/>
    <w:aliases w:val="FSFootnote Text"/>
    <w:basedOn w:val="Normal"/>
    <w:link w:val="FootnoteTextChar"/>
    <w:uiPriority w:val="99"/>
    <w:unhideWhenUsed/>
    <w:qFormat/>
    <w:rsid w:val="00841A46"/>
    <w:pPr>
      <w:ind w:left="425" w:hanging="425"/>
    </w:pPr>
    <w:rPr>
      <w:rFonts w:eastAsiaTheme="minorHAnsi" w:cstheme="minorBidi"/>
      <w:sz w:val="18"/>
      <w:szCs w:val="20"/>
      <w:lang w:bidi="ar-SA"/>
    </w:rPr>
  </w:style>
  <w:style w:type="character" w:customStyle="1" w:styleId="FootnoteTextChar">
    <w:name w:val="Footnote Text Char"/>
    <w:aliases w:val="FSFootnote Text Char"/>
    <w:basedOn w:val="DefaultParagraphFont"/>
    <w:link w:val="FootnoteText"/>
    <w:uiPriority w:val="99"/>
    <w:rsid w:val="00841A46"/>
    <w:rPr>
      <w:rFonts w:cstheme="minorBidi"/>
      <w:sz w:val="18"/>
      <w:szCs w:val="20"/>
      <w:lang w:val="en-GB"/>
    </w:rPr>
  </w:style>
  <w:style w:type="paragraph" w:styleId="Header">
    <w:name w:val="header"/>
    <w:aliases w:val="FSHeader"/>
    <w:basedOn w:val="Normal"/>
    <w:link w:val="HeaderChar"/>
    <w:uiPriority w:val="99"/>
    <w:unhideWhenUsed/>
    <w:qFormat/>
    <w:rsid w:val="00841A46"/>
    <w:pPr>
      <w:jc w:val="center"/>
    </w:pPr>
    <w:rPr>
      <w:rFonts w:ascii="Arial Bold" w:eastAsiaTheme="minorHAnsi" w:hAnsi="Arial Bold" w:cstheme="minorBidi"/>
      <w:b/>
      <w:caps/>
      <w:szCs w:val="22"/>
      <w:lang w:bidi="ar-SA"/>
    </w:rPr>
  </w:style>
  <w:style w:type="character" w:customStyle="1" w:styleId="HeaderChar">
    <w:name w:val="Header Char"/>
    <w:aliases w:val="FSHeader Char"/>
    <w:basedOn w:val="DefaultParagraphFont"/>
    <w:link w:val="Header"/>
    <w:uiPriority w:val="99"/>
    <w:rsid w:val="00841A46"/>
    <w:rPr>
      <w:rFonts w:ascii="Arial Bold" w:hAnsi="Arial Bold" w:cstheme="minorBidi"/>
      <w:b/>
      <w:caps/>
      <w:lang w:val="en-GB"/>
    </w:rPr>
  </w:style>
  <w:style w:type="paragraph" w:styleId="Title">
    <w:name w:val="Title"/>
    <w:basedOn w:val="Normal"/>
    <w:next w:val="Normal"/>
    <w:link w:val="TitleChar"/>
    <w:uiPriority w:val="10"/>
    <w:qFormat/>
    <w:rsid w:val="00841A4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lang w:bidi="ar-SA"/>
    </w:rPr>
  </w:style>
  <w:style w:type="character" w:customStyle="1" w:styleId="TitleChar">
    <w:name w:val="Title Char"/>
    <w:basedOn w:val="DefaultParagraphFont"/>
    <w:link w:val="Title"/>
    <w:uiPriority w:val="10"/>
    <w:rsid w:val="00841A4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41A46"/>
    <w:pPr>
      <w:numPr>
        <w:ilvl w:val="1"/>
      </w:numPr>
    </w:pPr>
    <w:rPr>
      <w:rFonts w:eastAsiaTheme="majorEastAsia"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841A46"/>
    <w:rPr>
      <w:rFonts w:eastAsiaTheme="majorEastAsia" w:cstheme="majorBidi"/>
      <w:i/>
      <w:iCs/>
      <w:color w:val="4F81BD" w:themeColor="accent1"/>
      <w:spacing w:val="15"/>
      <w:sz w:val="24"/>
      <w:szCs w:val="24"/>
      <w:lang w:val="en-GB"/>
    </w:rPr>
  </w:style>
  <w:style w:type="character" w:styleId="Strong">
    <w:name w:val="Strong"/>
    <w:basedOn w:val="DefaultParagraphFont"/>
    <w:uiPriority w:val="22"/>
    <w:qFormat/>
    <w:rsid w:val="00841A46"/>
    <w:rPr>
      <w:b/>
      <w:bCs/>
    </w:rPr>
  </w:style>
  <w:style w:type="character" w:styleId="Emphasis">
    <w:name w:val="Emphasis"/>
    <w:basedOn w:val="DefaultParagraphFont"/>
    <w:uiPriority w:val="20"/>
    <w:qFormat/>
    <w:rsid w:val="00841A46"/>
    <w:rPr>
      <w:i/>
      <w:iCs/>
    </w:rPr>
  </w:style>
  <w:style w:type="paragraph" w:styleId="ListParagraph">
    <w:name w:val="List Paragraph"/>
    <w:basedOn w:val="Normal"/>
    <w:uiPriority w:val="34"/>
    <w:qFormat/>
    <w:rsid w:val="00841A46"/>
    <w:pPr>
      <w:ind w:left="720"/>
      <w:contextualSpacing/>
    </w:pPr>
    <w:rPr>
      <w:rFonts w:eastAsiaTheme="minorHAnsi" w:cstheme="minorBidi"/>
      <w:szCs w:val="22"/>
      <w:lang w:bidi="ar-SA"/>
    </w:rPr>
  </w:style>
  <w:style w:type="paragraph" w:styleId="Quote">
    <w:name w:val="Quote"/>
    <w:basedOn w:val="Normal"/>
    <w:next w:val="Normal"/>
    <w:link w:val="QuoteChar"/>
    <w:uiPriority w:val="29"/>
    <w:qFormat/>
    <w:rsid w:val="00841A46"/>
    <w:rPr>
      <w:rFonts w:eastAsiaTheme="minorHAnsi" w:cs="Arial"/>
      <w:i/>
      <w:iCs/>
      <w:color w:val="000000" w:themeColor="text1"/>
      <w:szCs w:val="22"/>
      <w:lang w:bidi="ar-SA"/>
    </w:rPr>
  </w:style>
  <w:style w:type="character" w:customStyle="1" w:styleId="QuoteChar">
    <w:name w:val="Quote Char"/>
    <w:basedOn w:val="DefaultParagraphFont"/>
    <w:link w:val="Quote"/>
    <w:uiPriority w:val="29"/>
    <w:rsid w:val="00841A46"/>
    <w:rPr>
      <w:i/>
      <w:iCs/>
      <w:color w:val="000000" w:themeColor="text1"/>
      <w:lang w:val="en-GB"/>
    </w:rPr>
  </w:style>
  <w:style w:type="character" w:styleId="SubtleEmphasis">
    <w:name w:val="Subtle Emphasis"/>
    <w:basedOn w:val="DefaultParagraphFont"/>
    <w:uiPriority w:val="19"/>
    <w:qFormat/>
    <w:rsid w:val="00841A46"/>
    <w:rPr>
      <w:i/>
      <w:iCs/>
      <w:color w:val="808080" w:themeColor="text1" w:themeTint="7F"/>
    </w:rPr>
  </w:style>
  <w:style w:type="paragraph" w:styleId="TOCHeading">
    <w:name w:val="TOC Heading"/>
    <w:basedOn w:val="Heading1"/>
    <w:next w:val="Normal"/>
    <w:uiPriority w:val="39"/>
    <w:semiHidden/>
    <w:unhideWhenUsed/>
    <w:qFormat/>
    <w:rsid w:val="00841A46"/>
    <w:pPr>
      <w:outlineLvl w:val="9"/>
    </w:pPr>
    <w:rPr>
      <w:rFonts w:asciiTheme="majorHAnsi" w:hAnsiTheme="majorHAnsi"/>
    </w:rPr>
  </w:style>
  <w:style w:type="paragraph" w:customStyle="1" w:styleId="FSTableText">
    <w:name w:val="FS Table Text"/>
    <w:basedOn w:val="Normal"/>
    <w:qFormat/>
    <w:rsid w:val="000C7E7A"/>
    <w:rPr>
      <w:rFonts w:cs="Arial"/>
      <w:sz w:val="20"/>
      <w:szCs w:val="20"/>
    </w:rPr>
  </w:style>
  <w:style w:type="character" w:styleId="CommentReference">
    <w:name w:val="annotation reference"/>
    <w:rsid w:val="000C7E7A"/>
    <w:rPr>
      <w:sz w:val="16"/>
      <w:szCs w:val="16"/>
    </w:rPr>
  </w:style>
  <w:style w:type="paragraph" w:styleId="CommentText">
    <w:name w:val="annotation text"/>
    <w:basedOn w:val="Normal"/>
    <w:link w:val="CommentTextChar"/>
    <w:rsid w:val="000C7E7A"/>
    <w:rPr>
      <w:sz w:val="20"/>
      <w:szCs w:val="20"/>
    </w:rPr>
  </w:style>
  <w:style w:type="character" w:customStyle="1" w:styleId="CommentTextChar">
    <w:name w:val="Comment Text Char"/>
    <w:basedOn w:val="DefaultParagraphFont"/>
    <w:link w:val="CommentText"/>
    <w:rsid w:val="000C7E7A"/>
    <w:rPr>
      <w:rFonts w:eastAsia="Times New Roman" w:cs="Times New Roman"/>
      <w:sz w:val="20"/>
      <w:szCs w:val="20"/>
      <w:lang w:val="en-GB" w:bidi="en-US"/>
    </w:rPr>
  </w:style>
  <w:style w:type="paragraph" w:styleId="BodyTextIndent">
    <w:name w:val="Body Text Indent"/>
    <w:basedOn w:val="Normal"/>
    <w:link w:val="BodyTextIndentChar"/>
    <w:rsid w:val="000C7E7A"/>
    <w:pPr>
      <w:spacing w:after="120"/>
      <w:ind w:left="360"/>
    </w:pPr>
  </w:style>
  <w:style w:type="character" w:customStyle="1" w:styleId="BodyTextIndentChar">
    <w:name w:val="Body Text Indent Char"/>
    <w:basedOn w:val="DefaultParagraphFont"/>
    <w:link w:val="BodyTextIndent"/>
    <w:rsid w:val="000C7E7A"/>
    <w:rPr>
      <w:rFonts w:eastAsia="Times New Roman" w:cs="Times New Roman"/>
      <w:szCs w:val="24"/>
      <w:lang w:val="en-GB" w:bidi="en-US"/>
    </w:rPr>
  </w:style>
  <w:style w:type="paragraph" w:styleId="BalloonText">
    <w:name w:val="Balloon Text"/>
    <w:basedOn w:val="Normal"/>
    <w:link w:val="BalloonTextChar"/>
    <w:uiPriority w:val="99"/>
    <w:semiHidden/>
    <w:unhideWhenUsed/>
    <w:rsid w:val="000C7E7A"/>
    <w:rPr>
      <w:rFonts w:ascii="Tahoma" w:hAnsi="Tahoma" w:cs="Tahoma"/>
      <w:sz w:val="16"/>
      <w:szCs w:val="16"/>
    </w:rPr>
  </w:style>
  <w:style w:type="character" w:customStyle="1" w:styleId="BalloonTextChar">
    <w:name w:val="Balloon Text Char"/>
    <w:basedOn w:val="DefaultParagraphFont"/>
    <w:link w:val="BalloonText"/>
    <w:uiPriority w:val="99"/>
    <w:semiHidden/>
    <w:rsid w:val="000C7E7A"/>
    <w:rPr>
      <w:rFonts w:ascii="Tahoma" w:eastAsia="Times New Roman" w:hAnsi="Tahoma" w:cs="Tahoma"/>
      <w:sz w:val="16"/>
      <w:szCs w:val="16"/>
      <w:lang w:val="en-GB" w:bidi="en-US"/>
    </w:rPr>
  </w:style>
  <w:style w:type="paragraph" w:customStyle="1" w:styleId="FSTitle">
    <w:name w:val="FS Title"/>
    <w:basedOn w:val="Normal"/>
    <w:qFormat/>
    <w:rsid w:val="00693F81"/>
    <w:pPr>
      <w:widowControl w:val="0"/>
    </w:pPr>
    <w:rPr>
      <w:rFonts w:cs="Tahoma"/>
      <w:bCs/>
      <w:sz w:val="32"/>
    </w:rPr>
  </w:style>
  <w:style w:type="paragraph" w:customStyle="1" w:styleId="Body1">
    <w:name w:val="Body 1"/>
    <w:rsid w:val="00CA0D1F"/>
    <w:pPr>
      <w:spacing w:after="0" w:line="240" w:lineRule="auto"/>
      <w:outlineLvl w:val="0"/>
    </w:pPr>
    <w:rPr>
      <w:rFonts w:eastAsia="Arial Unicode MS" w:cs="Times New Roman"/>
      <w:color w:val="000000"/>
      <w:szCs w:val="20"/>
      <w:u w:color="000000"/>
      <w:lang w:val="en-GB" w:eastAsia="en-GB"/>
    </w:rPr>
  </w:style>
  <w:style w:type="paragraph" w:styleId="Footer">
    <w:name w:val="footer"/>
    <w:basedOn w:val="Normal"/>
    <w:link w:val="FooterChar"/>
    <w:uiPriority w:val="99"/>
    <w:unhideWhenUsed/>
    <w:rsid w:val="00CA0D1F"/>
    <w:pPr>
      <w:tabs>
        <w:tab w:val="center" w:pos="4513"/>
        <w:tab w:val="right" w:pos="9026"/>
      </w:tabs>
    </w:pPr>
  </w:style>
  <w:style w:type="character" w:customStyle="1" w:styleId="FooterChar">
    <w:name w:val="Footer Char"/>
    <w:basedOn w:val="DefaultParagraphFont"/>
    <w:link w:val="Footer"/>
    <w:uiPriority w:val="99"/>
    <w:rsid w:val="00CA0D1F"/>
    <w:rPr>
      <w:rFonts w:eastAsia="Times New Roman" w:cs="Times New Roman"/>
      <w:szCs w:val="24"/>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C3634-8FC7-4816-81F4-F3F0D41AB29F}"/>
</file>

<file path=customXml/itemProps2.xml><?xml version="1.0" encoding="utf-8"?>
<ds:datastoreItem xmlns:ds="http://schemas.openxmlformats.org/officeDocument/2006/customXml" ds:itemID="{51B8F601-EC28-43DA-8CF6-B9A95025CBFF}"/>
</file>

<file path=customXml/itemProps3.xml><?xml version="1.0" encoding="utf-8"?>
<ds:datastoreItem xmlns:ds="http://schemas.openxmlformats.org/officeDocument/2006/customXml" ds:itemID="{F03C98E1-B6A3-42E9-BE85-A23568303333}"/>
</file>

<file path=docProps/app.xml><?xml version="1.0" encoding="utf-8"?>
<Properties xmlns="http://schemas.openxmlformats.org/officeDocument/2006/extended-properties" xmlns:vt="http://schemas.openxmlformats.org/officeDocument/2006/docPropsVTypes">
  <Template>Normal</Template>
  <TotalTime>0</TotalTime>
  <Pages>9</Pages>
  <Words>2498</Words>
  <Characters>14240</Characters>
  <Application>Microsoft Office Word</Application>
  <DocSecurity>0</DocSecurity>
  <Lines>118</Lines>
  <Paragraphs>33</Paragraphs>
  <ScaleCrop>false</ScaleCrop>
  <Company/>
  <LinksUpToDate>false</LinksUpToDate>
  <CharactersWithSpaces>16705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P274-SD3-Issues-PFAR</dc:title>
  <dc:creator/>
  <cp:lastModifiedBy/>
  <cp:revision>1</cp:revision>
  <dcterms:created xsi:type="dcterms:W3CDTF">2013-09-26T04:21:00Z</dcterms:created>
  <dcterms:modified xsi:type="dcterms:W3CDTF">2013-09-26T04:21:00Z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